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A160C">
      <w:bookmarkStart w:id="0" w:name="_Hlk89022619"/>
      <w:bookmarkEnd w:id="0"/>
      <w:bookmarkStart w:id="1" w:name="_Toc55567070"/>
      <w:bookmarkStart w:id="2" w:name="_Toc55567078"/>
      <w:bookmarkStart w:id="3" w:name="_Toc291842566"/>
      <w:bookmarkStart w:id="4" w:name="_Toc279411564"/>
      <w:bookmarkStart w:id="5" w:name="_Toc282432864"/>
      <w:r>
        <w:rPr>
          <w:rFonts w:hint="eastAsi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-726440</wp:posOffset>
            </wp:positionH>
            <wp:positionV relativeFrom="paragraph">
              <wp:posOffset>-1075690</wp:posOffset>
            </wp:positionV>
            <wp:extent cx="7573010" cy="10916920"/>
            <wp:effectExtent l="0" t="0" r="8890" b="8255"/>
            <wp:wrapNone/>
            <wp:docPr id="3" name="图片 3" descr="img_v3_0214m_40a969e4-942f-4bdd-8926-fc2df50c8a2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v3_0214m_40a969e4-942f-4bdd-8926-fc2df50c8a2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1091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EC8374">
      <w:r>
        <w:br w:type="page"/>
      </w:r>
    </w:p>
    <w:p w14:paraId="3D7BE2B7">
      <w:pPr>
        <w:pStyle w:val="13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134" w:right="1134" w:bottom="1134" w:left="1134" w:header="851" w:footer="992" w:gutter="0"/>
          <w:pgNumType w:start="1"/>
          <w:cols w:space="425" w:num="1"/>
          <w:docGrid w:type="lines" w:linePitch="326" w:charSpace="0"/>
        </w:sectPr>
      </w:pPr>
      <w:bookmarkStart w:id="6" w:name="_Toc57149857"/>
    </w:p>
    <w:bookmarkEnd w:id="1"/>
    <w:bookmarkEnd w:id="6"/>
    <w:p w14:paraId="0B810801">
      <w:pPr>
        <w:pStyle w:val="13"/>
        <w:rPr>
          <w:rFonts w:ascii="Times New Roman" w:hAnsi="Times New Roman" w:eastAsia="宋体" w:cs="Arial"/>
          <w:color w:val="000000"/>
          <w:sz w:val="28"/>
          <w:szCs w:val="21"/>
          <w:lang w:val="en-US" w:eastAsia="zh-CN" w:bidi="ar-SA"/>
        </w:rPr>
      </w:pPr>
      <w:r>
        <w:rPr>
          <w:rFonts w:hint="eastAsia"/>
        </w:rPr>
        <w:t>目录</w:t>
      </w:r>
      <w:r>
        <w:fldChar w:fldCharType="begin"/>
      </w:r>
      <w:r>
        <w:instrText xml:space="preserve"> TOC \o "1-3" \h \z \u </w:instrText>
      </w:r>
      <w:r>
        <w:fldChar w:fldCharType="separate"/>
      </w:r>
    </w:p>
    <w:p w14:paraId="1D7DD43A">
      <w:pPr>
        <w:pStyle w:val="13"/>
      </w:pPr>
      <w:r>
        <w:fldChar w:fldCharType="begin"/>
      </w:r>
      <w:r>
        <w:instrText xml:space="preserve"> HYPERLINK \l _Toc20432 </w:instrText>
      </w:r>
      <w:r>
        <w:fldChar w:fldCharType="separate"/>
      </w:r>
      <w:r>
        <w:rPr>
          <w:rFonts w:hint="eastAsia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 w14:prst="orthographicFront"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1. </w:t>
      </w:r>
      <w:r>
        <w:rPr>
          <w:rFonts w:hint="eastAsia"/>
        </w:rPr>
        <w:t>项目概述</w:t>
      </w:r>
      <w:r>
        <w:tab/>
      </w:r>
      <w:r>
        <w:fldChar w:fldCharType="begin"/>
      </w:r>
      <w:r>
        <w:instrText xml:space="preserve"> PAGEREF _Toc20432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6C227D91">
      <w:pPr>
        <w:pStyle w:val="13"/>
      </w:pPr>
      <w:r>
        <w:fldChar w:fldCharType="begin"/>
      </w:r>
      <w:r>
        <w:instrText xml:space="preserve"> HYPERLINK \l _Toc21862 </w:instrText>
      </w:r>
      <w:r>
        <w:fldChar w:fldCharType="separate"/>
      </w:r>
      <w:r>
        <w:rPr>
          <w:rFonts w:hint="eastAsia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 w14:prst="orthographicFront"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2. </w:t>
      </w:r>
      <w:r>
        <w:rPr>
          <w:rFonts w:hint="eastAsia"/>
        </w:rPr>
        <w:t>硬件设计综述</w:t>
      </w:r>
      <w:r>
        <w:tab/>
      </w:r>
      <w:r>
        <w:fldChar w:fldCharType="begin"/>
      </w:r>
      <w:r>
        <w:instrText xml:space="preserve"> PAGEREF _Toc21862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47364516">
      <w:pPr>
        <w:pStyle w:val="14"/>
        <w:tabs>
          <w:tab w:val="right" w:leader="dot" w:pos="9638"/>
          <w:tab w:val="clear" w:pos="9628"/>
        </w:tabs>
      </w:pPr>
      <w:r>
        <w:fldChar w:fldCharType="begin"/>
      </w:r>
      <w:r>
        <w:instrText xml:space="preserve"> HYPERLINK \l _Toc3552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2.1 </w:t>
      </w:r>
      <w:r>
        <w:rPr>
          <w:rFonts w:hint="eastAsia"/>
        </w:rPr>
        <w:t>电源</w:t>
      </w:r>
      <w:r>
        <w:tab/>
      </w:r>
      <w:r>
        <w:fldChar w:fldCharType="begin"/>
      </w:r>
      <w:r>
        <w:instrText xml:space="preserve"> PAGEREF _Toc3552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346987F0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_Toc15535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2.1.1 </w:t>
      </w:r>
      <w:r>
        <w:rPr>
          <w:rFonts w:hint="eastAsia"/>
        </w:rPr>
        <w:t>供电</w:t>
      </w:r>
      <w:r>
        <w:tab/>
      </w:r>
      <w:r>
        <w:fldChar w:fldCharType="begin"/>
      </w:r>
      <w:r>
        <w:instrText xml:space="preserve"> PAGEREF _Toc15535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3445E670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_Toc19392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2.1.2 </w:t>
      </w:r>
      <w:r>
        <w:rPr>
          <w:rFonts w:hint="eastAsia"/>
        </w:rPr>
        <w:t>充电</w:t>
      </w:r>
      <w:r>
        <w:tab/>
      </w:r>
      <w:r>
        <w:fldChar w:fldCharType="begin"/>
      </w:r>
      <w:r>
        <w:instrText xml:space="preserve"> PAGEREF _Toc19392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6F750C4D">
      <w:pPr>
        <w:pStyle w:val="14"/>
        <w:tabs>
          <w:tab w:val="right" w:leader="dot" w:pos="9638"/>
          <w:tab w:val="clear" w:pos="9628"/>
        </w:tabs>
      </w:pPr>
      <w:r>
        <w:fldChar w:fldCharType="begin"/>
      </w:r>
      <w:r>
        <w:instrText xml:space="preserve"> HYPERLINK \l _Toc8068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2.2 </w:t>
      </w:r>
      <w:r>
        <w:rPr>
          <w:rFonts w:hint="eastAsia"/>
        </w:rPr>
        <w:t>信号部分</w:t>
      </w:r>
      <w:r>
        <w:tab/>
      </w:r>
      <w:r>
        <w:fldChar w:fldCharType="begin"/>
      </w:r>
      <w:r>
        <w:instrText xml:space="preserve"> PAGEREF _Toc8068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15ED8CA7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_Toc26374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2.2.1 </w:t>
      </w:r>
      <w:r>
        <w:rPr>
          <w:rFonts w:hint="eastAsia"/>
        </w:rPr>
        <w:t>灯条连接</w:t>
      </w:r>
      <w:r>
        <w:tab/>
      </w:r>
      <w:r>
        <w:fldChar w:fldCharType="begin"/>
      </w:r>
      <w:r>
        <w:instrText xml:space="preserve"> PAGEREF _Toc26374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3EEBEA04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_Toc14081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2.2.2 </w:t>
      </w:r>
      <w:r>
        <w:rPr>
          <w:rFonts w:hint="eastAsia"/>
        </w:rPr>
        <w:t>颜色切换</w:t>
      </w:r>
      <w:r>
        <w:tab/>
      </w:r>
      <w:r>
        <w:fldChar w:fldCharType="begin"/>
      </w:r>
      <w:r>
        <w:instrText xml:space="preserve"> PAGEREF _Toc14081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3071C317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_Toc18104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2.2.3 </w:t>
      </w:r>
      <w:r>
        <w:rPr>
          <w:rFonts w:hint="eastAsia"/>
        </w:rPr>
        <w:t>烧录接口</w:t>
      </w:r>
      <w:r>
        <w:tab/>
      </w:r>
      <w:r>
        <w:fldChar w:fldCharType="begin"/>
      </w:r>
      <w:r>
        <w:instrText xml:space="preserve"> PAGEREF _Toc18104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074540CA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_Toc32527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2.2.4 </w:t>
      </w:r>
      <w:r>
        <w:rPr>
          <w:rFonts w:hint="eastAsia"/>
        </w:rPr>
        <w:t>其他接口</w:t>
      </w:r>
      <w:r>
        <w:tab/>
      </w:r>
      <w:r>
        <w:fldChar w:fldCharType="begin"/>
      </w:r>
      <w:r>
        <w:instrText xml:space="preserve"> PAGEREF _Toc32527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53A852EC">
      <w:pPr>
        <w:pStyle w:val="14"/>
        <w:tabs>
          <w:tab w:val="right" w:leader="dot" w:pos="9638"/>
          <w:tab w:val="clear" w:pos="9628"/>
        </w:tabs>
      </w:pPr>
      <w:r>
        <w:fldChar w:fldCharType="begin"/>
      </w:r>
      <w:r>
        <w:instrText xml:space="preserve"> HYPERLINK \l _Toc11336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2.3 </w:t>
      </w:r>
      <w:r>
        <w:rPr>
          <w:rFonts w:hint="eastAsia"/>
        </w:rPr>
        <w:t>使用说明</w:t>
      </w:r>
      <w:r>
        <w:tab/>
      </w:r>
      <w:r>
        <w:fldChar w:fldCharType="begin"/>
      </w:r>
      <w:r>
        <w:instrText xml:space="preserve"> PAGEREF _Toc11336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056F7403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_Toc15314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2.3.1 </w:t>
      </w:r>
      <w:r>
        <w:rPr>
          <w:rFonts w:hint="eastAsia"/>
        </w:rPr>
        <w:t>原理图及PCB 3D图</w:t>
      </w:r>
      <w:r>
        <w:tab/>
      </w:r>
      <w:r>
        <w:fldChar w:fldCharType="begin"/>
      </w:r>
      <w:r>
        <w:instrText xml:space="preserve"> PAGEREF _Toc15314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79B5D6D7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_Toc14786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2.3.2 </w:t>
      </w:r>
      <w:r>
        <w:rPr>
          <w:rFonts w:hint="eastAsia"/>
        </w:rPr>
        <w:t>电源控制及颜色切换</w:t>
      </w:r>
      <w:r>
        <w:tab/>
      </w:r>
      <w:r>
        <w:fldChar w:fldCharType="begin"/>
      </w:r>
      <w:r>
        <w:instrText xml:space="preserve"> PAGEREF _Toc14786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03187387">
      <w:pPr>
        <w:pStyle w:val="13"/>
      </w:pPr>
      <w:r>
        <w:fldChar w:fldCharType="begin"/>
      </w:r>
      <w:r>
        <w:instrText xml:space="preserve"> HYPERLINK \l _Toc9150 </w:instrText>
      </w:r>
      <w:r>
        <w:fldChar w:fldCharType="separate"/>
      </w:r>
      <w:r>
        <w:rPr>
          <w:rFonts w:hint="eastAsia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 w14:prst="orthographicFront"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3. </w:t>
      </w:r>
      <w:r>
        <w:rPr>
          <w:rFonts w:hint="eastAsia"/>
          <w:lang w:val="en-US" w:eastAsia="zh-CN"/>
        </w:rPr>
        <w:t>软件设计</w:t>
      </w:r>
      <w:r>
        <w:tab/>
      </w:r>
      <w:r>
        <w:fldChar w:fldCharType="begin"/>
      </w:r>
      <w:r>
        <w:instrText xml:space="preserve"> PAGEREF _Toc9150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3405C631">
      <w:pPr>
        <w:pStyle w:val="14"/>
        <w:tabs>
          <w:tab w:val="right" w:leader="dot" w:pos="9638"/>
          <w:tab w:val="clear" w:pos="9628"/>
        </w:tabs>
      </w:pPr>
      <w:r>
        <w:fldChar w:fldCharType="begin"/>
      </w:r>
      <w:r>
        <w:instrText xml:space="preserve"> HYPERLINK \l _Toc15890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3.1 </w:t>
      </w:r>
      <w:r>
        <w:t>功能目标</w:t>
      </w:r>
      <w:r>
        <w:rPr>
          <w:rFonts w:hint="eastAsia"/>
          <w:lang w:val="en-US" w:eastAsia="zh-CN"/>
        </w:rPr>
        <w:t>与核心逻辑</w:t>
      </w:r>
      <w:r>
        <w:tab/>
      </w:r>
      <w:r>
        <w:fldChar w:fldCharType="begin"/>
      </w:r>
      <w:r>
        <w:instrText xml:space="preserve"> PAGEREF _Toc15890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189F1016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_Toc6956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3.1.1 </w:t>
      </w:r>
      <w:r>
        <w:rPr>
          <w:rFonts w:hint="eastAsia"/>
          <w:lang w:val="en-US" w:eastAsia="zh-CN"/>
        </w:rPr>
        <w:t>功能目标</w:t>
      </w:r>
      <w:r>
        <w:tab/>
      </w:r>
      <w:r>
        <w:fldChar w:fldCharType="begin"/>
      </w:r>
      <w:r>
        <w:instrText xml:space="preserve"> PAGEREF _Toc6956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3AA56D03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_Toc8394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3.1.2 </w:t>
      </w:r>
      <w:r>
        <w:t>核心逻辑</w:t>
      </w:r>
      <w:r>
        <w:tab/>
      </w:r>
      <w:r>
        <w:fldChar w:fldCharType="begin"/>
      </w:r>
      <w:r>
        <w:instrText xml:space="preserve"> PAGEREF _Toc8394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72CDFFC1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_Toc5532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3.1.3 </w:t>
      </w:r>
      <w:r>
        <w:t>实现</w:t>
      </w:r>
      <w:r>
        <w:tab/>
      </w:r>
      <w:r>
        <w:fldChar w:fldCharType="begin"/>
      </w:r>
      <w:r>
        <w:instrText xml:space="preserve"> PAGEREF _Toc5532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727A4DF6">
      <w:pPr>
        <w:pStyle w:val="14"/>
        <w:tabs>
          <w:tab w:val="right" w:leader="dot" w:pos="9638"/>
          <w:tab w:val="clear" w:pos="9628"/>
        </w:tabs>
      </w:pPr>
      <w:r>
        <w:fldChar w:fldCharType="begin"/>
      </w:r>
      <w:r>
        <w:instrText xml:space="preserve"> HYPERLINK \l _Toc20694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3.2 </w:t>
      </w:r>
      <w:r>
        <w:rPr>
          <w:rFonts w:hint="eastAsia"/>
          <w:lang w:val="en-US" w:eastAsia="zh-CN"/>
        </w:rPr>
        <w:t>CubeMX配置</w:t>
      </w:r>
      <w:r>
        <w:tab/>
      </w:r>
      <w:r>
        <w:fldChar w:fldCharType="begin"/>
      </w:r>
      <w:r>
        <w:instrText xml:space="preserve"> PAGEREF _Toc20694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53EE3DDD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_Toc4618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3.2.1 </w:t>
      </w:r>
      <w:r>
        <w:t>CubeMX 引脚配置</w:t>
      </w:r>
      <w:r>
        <w:tab/>
      </w:r>
      <w:r>
        <w:fldChar w:fldCharType="begin"/>
      </w:r>
      <w:r>
        <w:instrText xml:space="preserve"> PAGEREF _Toc4618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2093EC7D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_Toc30197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3.2.2 </w:t>
      </w:r>
      <w:r>
        <w:t>外设冲突检查</w:t>
      </w:r>
      <w:r>
        <w:tab/>
      </w:r>
      <w:r>
        <w:fldChar w:fldCharType="begin"/>
      </w:r>
      <w:r>
        <w:instrText xml:space="preserve"> PAGEREF _Toc30197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3A48EA09">
      <w:pPr>
        <w:pStyle w:val="14"/>
        <w:tabs>
          <w:tab w:val="right" w:leader="dot" w:pos="9638"/>
          <w:tab w:val="clear" w:pos="9628"/>
        </w:tabs>
      </w:pPr>
      <w:r>
        <w:fldChar w:fldCharType="begin"/>
      </w:r>
      <w:r>
        <w:instrText xml:space="preserve"> HYPERLINK \l _Toc4873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3.3 </w:t>
      </w:r>
      <w:r>
        <w:rPr>
          <w:rFonts w:hint="eastAsia"/>
          <w:lang w:val="en-US" w:eastAsia="zh-CN"/>
        </w:rPr>
        <w:t>软件流程与状态变量</w:t>
      </w:r>
      <w:r>
        <w:tab/>
      </w:r>
      <w:r>
        <w:fldChar w:fldCharType="begin"/>
      </w:r>
      <w:r>
        <w:instrText xml:space="preserve"> PAGEREF _Toc4873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36CE6DFD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_Toc25344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3.3.1 </w:t>
      </w:r>
      <w:r>
        <w:t>状态变量</w:t>
      </w:r>
      <w:r>
        <w:tab/>
      </w:r>
      <w:r>
        <w:fldChar w:fldCharType="begin"/>
      </w:r>
      <w:r>
        <w:instrText xml:space="preserve"> PAGEREF _Toc25344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7BF62081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_Toc14454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3.3.2 </w:t>
      </w:r>
      <w:r>
        <w:t>循环扫描流程</w:t>
      </w:r>
      <w:r>
        <w:tab/>
      </w:r>
      <w:r>
        <w:fldChar w:fldCharType="begin"/>
      </w:r>
      <w:r>
        <w:instrText xml:space="preserve"> PAGEREF _Toc14454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6EBAD6B0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_Toc30517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3.3.3 </w:t>
      </w:r>
      <w:r>
        <w:t>标志位消抖的作用</w:t>
      </w:r>
      <w:r>
        <w:tab/>
      </w:r>
      <w:r>
        <w:fldChar w:fldCharType="begin"/>
      </w:r>
      <w:r>
        <w:instrText xml:space="preserve"> PAGEREF _Toc30517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7ACB8354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_Toc4098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3.3.4 </w:t>
      </w:r>
      <w:r>
        <w:t>奇偶控制</w:t>
      </w:r>
      <w:r>
        <w:tab/>
      </w:r>
      <w:r>
        <w:fldChar w:fldCharType="begin"/>
      </w:r>
      <w:r>
        <w:instrText xml:space="preserve"> PAGEREF _Toc4098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6EB87BCC">
      <w:pPr>
        <w:pStyle w:val="14"/>
        <w:tabs>
          <w:tab w:val="right" w:leader="dot" w:pos="9638"/>
          <w:tab w:val="clear" w:pos="9628"/>
        </w:tabs>
      </w:pPr>
      <w:r>
        <w:fldChar w:fldCharType="begin"/>
      </w:r>
      <w:r>
        <w:instrText xml:space="preserve"> HYPERLINK \l _Toc20267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3.4 </w:t>
      </w:r>
      <w:r>
        <w:t>参考代码</w:t>
      </w:r>
      <w:r>
        <w:tab/>
      </w:r>
      <w:r>
        <w:fldChar w:fldCharType="begin"/>
      </w:r>
      <w:r>
        <w:instrText xml:space="preserve"> PAGEREF _Toc20267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3700A593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_Toc6895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3.4.1 </w:t>
      </w:r>
      <w:r>
        <w:t>用户变量与函数声明</w:t>
      </w:r>
      <w:r>
        <w:tab/>
      </w:r>
      <w:r>
        <w:fldChar w:fldCharType="begin"/>
      </w:r>
      <w:r>
        <w:instrText xml:space="preserve"> PAGEREF _Toc6895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6A6818BC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_Toc27163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3.4.2 </w:t>
      </w:r>
      <w:r>
        <w:t>按键扫描与灯控函数</w:t>
      </w:r>
      <w:r>
        <w:tab/>
      </w:r>
      <w:r>
        <w:fldChar w:fldCharType="begin"/>
      </w:r>
      <w:r>
        <w:instrText xml:space="preserve"> PAGEREF _Toc27163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27D6A95B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_Toc15011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3.4.3 </w:t>
      </w:r>
      <w:r>
        <w:t>主循环调用</w:t>
      </w:r>
      <w:r>
        <w:tab/>
      </w:r>
      <w:r>
        <w:fldChar w:fldCharType="begin"/>
      </w:r>
      <w:r>
        <w:instrText xml:space="preserve"> PAGEREF _Toc15011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78AC51C1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_Toc20117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3.4.4 </w:t>
      </w:r>
      <w:r>
        <w:t>CubeMX 生成的 GPIO 初始化参考</w:t>
      </w:r>
      <w:r>
        <w:tab/>
      </w:r>
      <w:r>
        <w:fldChar w:fldCharType="begin"/>
      </w:r>
      <w:r>
        <w:instrText xml:space="preserve"> PAGEREF _Toc20117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0EA9C437">
      <w:pPr>
        <w:pStyle w:val="13"/>
      </w:pPr>
      <w:r>
        <w:fldChar w:fldCharType="begin"/>
      </w:r>
      <w:r>
        <w:instrText xml:space="preserve"> HYPERLINK \l _Toc781 </w:instrText>
      </w:r>
      <w:r>
        <w:fldChar w:fldCharType="separate"/>
      </w:r>
      <w:r>
        <w:rPr>
          <w:rFonts w:hint="eastAsia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 w14:prst="orthographicFront"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4. </w:t>
      </w:r>
      <w:r>
        <w:rPr>
          <w:rFonts w:hint="eastAsia"/>
          <w:lang w:val="en-US" w:eastAsia="zh-CN"/>
        </w:rPr>
        <w:t>使用说明</w:t>
      </w:r>
      <w:r>
        <w:tab/>
      </w:r>
      <w:r>
        <w:fldChar w:fldCharType="begin"/>
      </w:r>
      <w:r>
        <w:instrText xml:space="preserve"> PAGEREF _Toc781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49A3DE98">
      <w:pPr>
        <w:pStyle w:val="14"/>
        <w:tabs>
          <w:tab w:val="right" w:leader="dot" w:pos="9638"/>
          <w:tab w:val="clear" w:pos="9628"/>
        </w:tabs>
      </w:pPr>
      <w:r>
        <w:fldChar w:fldCharType="begin"/>
      </w:r>
      <w:r>
        <w:instrText xml:space="preserve"> HYPERLINK \l _Toc20972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4.1 </w:t>
      </w:r>
      <w:r>
        <w:t>编译下载与功能测试</w:t>
      </w:r>
      <w:r>
        <w:tab/>
      </w:r>
      <w:r>
        <w:fldChar w:fldCharType="begin"/>
      </w:r>
      <w:r>
        <w:instrText xml:space="preserve"> PAGEREF _Toc20972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5B6FABA6">
      <w:pPr>
        <w:pStyle w:val="14"/>
        <w:tabs>
          <w:tab w:val="right" w:leader="dot" w:pos="9638"/>
          <w:tab w:val="clear" w:pos="9628"/>
        </w:tabs>
      </w:pPr>
      <w:r>
        <w:fldChar w:fldCharType="begin"/>
      </w:r>
      <w:r>
        <w:instrText xml:space="preserve"> HYPERLINK \l _Toc10474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4.2 </w:t>
      </w:r>
      <w:r>
        <w:t>预期结果</w:t>
      </w:r>
      <w:r>
        <w:tab/>
      </w:r>
      <w:r>
        <w:fldChar w:fldCharType="begin"/>
      </w:r>
      <w:r>
        <w:instrText xml:space="preserve"> PAGEREF _Toc10474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464E9DF9">
      <w:pPr>
        <w:pStyle w:val="14"/>
        <w:tabs>
          <w:tab w:val="right" w:leader="dot" w:pos="9638"/>
          <w:tab w:val="clear" w:pos="9628"/>
        </w:tabs>
      </w:pPr>
      <w:r>
        <w:fldChar w:fldCharType="begin"/>
      </w:r>
      <w:r>
        <w:instrText xml:space="preserve"> HYPERLINK \l _Toc32720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4.3 </w:t>
      </w:r>
      <w:r>
        <w:t>调试观察</w:t>
      </w:r>
      <w:r>
        <w:tab/>
      </w:r>
      <w:r>
        <w:fldChar w:fldCharType="begin"/>
      </w:r>
      <w:r>
        <w:instrText xml:space="preserve"> PAGEREF _Toc32720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28FE3674">
      <w:pPr>
        <w:pStyle w:val="14"/>
        <w:tabs>
          <w:tab w:val="right" w:leader="dot" w:pos="9638"/>
          <w:tab w:val="clear" w:pos="9628"/>
        </w:tabs>
      </w:pPr>
      <w:r>
        <w:fldChar w:fldCharType="begin"/>
      </w:r>
      <w:r>
        <w:instrText xml:space="preserve"> HYPERLINK \l _Toc13160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4.4 </w:t>
      </w:r>
      <w:r>
        <w:t>注意事项与移植</w:t>
      </w:r>
      <w:r>
        <w:tab/>
      </w:r>
      <w:r>
        <w:fldChar w:fldCharType="begin"/>
      </w:r>
      <w:r>
        <w:instrText xml:space="preserve"> PAGEREF _Toc13160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32D1D7A7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_Toc19446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4.4.1 </w:t>
      </w:r>
      <w:r>
        <w:t>有效电平适配</w:t>
      </w:r>
      <w:r>
        <w:tab/>
      </w:r>
      <w:r>
        <w:fldChar w:fldCharType="begin"/>
      </w:r>
      <w:r>
        <w:instrText xml:space="preserve"> PAGEREF _Toc19446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4EF27735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_Toc5054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4.4.2 </w:t>
      </w:r>
      <w:r>
        <w:t>阻塞延时</w:t>
      </w:r>
      <w:r>
        <w:tab/>
      </w:r>
      <w:r>
        <w:fldChar w:fldCharType="begin"/>
      </w:r>
      <w:r>
        <w:instrText xml:space="preserve"> PAGEREF _Toc5054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520FB22F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_Toc17851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4.4.3 </w:t>
      </w:r>
      <w:r>
        <w:t>CubeMX 重新生成</w:t>
      </w:r>
      <w:r>
        <w:tab/>
      </w:r>
      <w:r>
        <w:fldChar w:fldCharType="begin"/>
      </w:r>
      <w:r>
        <w:instrText xml:space="preserve"> PAGEREF _Toc17851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1AE51893">
      <w:pPr>
        <w:pStyle w:val="9"/>
        <w:tabs>
          <w:tab w:val="clear" w:pos="993"/>
        </w:tabs>
      </w:pPr>
      <w:r>
        <w:fldChar w:fldCharType="begin"/>
      </w:r>
      <w:r>
        <w:instrText xml:space="preserve"> HYPERLINK \l _Toc6837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4.4.4 </w:t>
      </w:r>
      <w:r>
        <w:t>电气安全</w:t>
      </w:r>
      <w:r>
        <w:tab/>
      </w:r>
      <w:r>
        <w:fldChar w:fldCharType="begin"/>
      </w:r>
      <w:r>
        <w:instrText xml:space="preserve"> PAGEREF _Toc6837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73C5E406">
      <w:pPr>
        <w:pStyle w:val="13"/>
      </w:pPr>
      <w:r>
        <w:fldChar w:fldCharType="begin"/>
      </w:r>
      <w:r>
        <w:instrText xml:space="preserve"> HYPERLINK \l _Toc1572 </w:instrText>
      </w:r>
      <w:r>
        <w:fldChar w:fldCharType="separate"/>
      </w:r>
      <w:r>
        <w:rPr>
          <w:rFonts w:hint="eastAsia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 w14:prst="orthographicFront"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5. </w:t>
      </w:r>
      <w:r>
        <w:rPr>
          <w:rFonts w:hint="eastAsia"/>
          <w:lang w:val="en-US" w:eastAsia="zh-CN"/>
        </w:rPr>
        <w:t xml:space="preserve">原理图及PBC </w:t>
      </w:r>
      <w:r>
        <w:tab/>
      </w:r>
      <w:r>
        <w:fldChar w:fldCharType="begin"/>
      </w:r>
      <w:r>
        <w:instrText xml:space="preserve"> PAGEREF _Toc1572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02B8375E">
      <w:pPr>
        <w:pStyle w:val="13"/>
      </w:pPr>
      <w:r>
        <w:fldChar w:fldCharType="begin"/>
      </w:r>
      <w:r>
        <w:instrText xml:space="preserve"> HYPERLINK \l _Toc17200 </w:instrText>
      </w:r>
      <w:r>
        <w:fldChar w:fldCharType="separate"/>
      </w:r>
      <w:r>
        <w:rPr>
          <w:rFonts w:hint="eastAsia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none"/>
          <w14:scene3d w14:prst="orthographicFront">
            <w14:lightRig w14:rig="threePt" w14:dir="t">
              <w14:rot w14:lat="0" w14:lon="0" w14:rev="0"/>
            </w14:lightRig>
          </w14:scene3d>
          <w14:ligatures w14:val="none"/>
          <w14:numForm w14:val="default"/>
          <w14:numSpacing w14:val="default"/>
        </w:rPr>
        <w:t xml:space="preserve">6. </w:t>
      </w:r>
      <w:r>
        <w:t>开源说明</w:t>
      </w:r>
      <w:r>
        <w:tab/>
      </w:r>
      <w:r>
        <w:fldChar w:fldCharType="begin"/>
      </w:r>
      <w:r>
        <w:instrText xml:space="preserve"> PAGEREF _Toc17200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042B1253">
      <w:pPr>
        <w:pStyle w:val="14"/>
        <w:tabs>
          <w:tab w:val="right" w:leader="dot" w:pos="9638"/>
          <w:tab w:val="clear" w:pos="9628"/>
        </w:tabs>
        <w:ind w:firstLine="727" w:firstLineChars="303"/>
      </w:pPr>
      <w:r>
        <w:fldChar w:fldCharType="begin"/>
      </w:r>
      <w:r>
        <w:instrText xml:space="preserve"> HYPERLINK \l _Toc4785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6.1 </w:t>
      </w:r>
      <w:r>
        <w:t>工程还原范围</w:t>
      </w:r>
      <w:r>
        <w:tab/>
      </w:r>
      <w:r>
        <w:fldChar w:fldCharType="begin"/>
      </w:r>
      <w:r>
        <w:instrText xml:space="preserve"> PAGEREF _Toc4785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0A080624">
      <w:pPr>
        <w:pStyle w:val="14"/>
        <w:tabs>
          <w:tab w:val="right" w:leader="dot" w:pos="9638"/>
          <w:tab w:val="clear" w:pos="9628"/>
        </w:tabs>
        <w:ind w:firstLine="727" w:firstLineChars="303"/>
      </w:pPr>
      <w:r>
        <w:fldChar w:fldCharType="begin"/>
      </w:r>
      <w:r>
        <w:instrText xml:space="preserve"> HYPERLINK \l _Toc16946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6.2 </w:t>
      </w:r>
      <w:r>
        <w:t>许可建议</w:t>
      </w:r>
      <w:r>
        <w:tab/>
      </w:r>
      <w:r>
        <w:fldChar w:fldCharType="begin"/>
      </w:r>
      <w:r>
        <w:instrText xml:space="preserve"> PAGEREF _Toc16946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419D1BAA">
      <w:pPr>
        <w:pStyle w:val="14"/>
        <w:tabs>
          <w:tab w:val="right" w:leader="dot" w:pos="9638"/>
          <w:tab w:val="clear" w:pos="9628"/>
        </w:tabs>
        <w:ind w:firstLine="727" w:firstLineChars="303"/>
      </w:pPr>
      <w:r>
        <w:fldChar w:fldCharType="begin"/>
      </w:r>
      <w:r>
        <w:instrText xml:space="preserve"> HYPERLINK \l _Toc977 </w:instrText>
      </w:r>
      <w:r>
        <w:fldChar w:fldCharType="separate"/>
      </w:r>
      <w:r>
        <w:rPr>
          <w:rFonts w:hint="default" w:ascii="Arial" w:hAnsi="Arial" w:eastAsia="宋体"/>
          <w:i w:val="0"/>
        </w:rPr>
        <w:t xml:space="preserve">6.3 </w:t>
      </w:r>
      <w:r>
        <w:t>版本信息</w:t>
      </w:r>
      <w:r>
        <w:tab/>
      </w:r>
      <w:r>
        <w:fldChar w:fldCharType="begin"/>
      </w:r>
      <w:r>
        <w:instrText xml:space="preserve"> PAGEREF _Toc977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1FD2C5C5">
      <w:pPr>
        <w:pStyle w:val="2"/>
      </w:pPr>
      <w:r>
        <w:fldChar w:fldCharType="end"/>
      </w:r>
      <w:bookmarkStart w:id="7" w:name="_Toc20432"/>
      <w:r>
        <w:rPr>
          <w:rFonts w:hint="eastAsia"/>
        </w:rPr>
        <w:t>项目概述</w:t>
      </w:r>
      <w:bookmarkEnd w:id="7"/>
    </w:p>
    <w:p w14:paraId="77FE1AF2">
      <w:bookmarkStart w:id="8" w:name="_Hlk92455449"/>
      <w:r>
        <w:t>在平时设备调试与赛场赛前准备阶段，为验证机器人自瞄</w:t>
      </w:r>
      <w:r>
        <w:rPr>
          <w:rFonts w:hint="eastAsia"/>
        </w:rPr>
        <w:t>是否</w:t>
      </w:r>
      <w:r>
        <w:t>正常</w:t>
      </w:r>
      <w:r>
        <w:rPr>
          <w:rFonts w:hint="eastAsia"/>
        </w:rPr>
        <w:t>开启</w:t>
      </w:r>
      <w:r>
        <w:t>，经常需要一块轻便易拿的手持装甲板。队内现有的老式手持装甲板，需要外接 3S 锂电池或者移动充电宝供电，虽然能够完成日常训练调试的基础测试任务</w:t>
      </w:r>
      <w:r>
        <w:rPr>
          <w:rFonts w:hint="eastAsia"/>
        </w:rPr>
        <w:t>，</w:t>
      </w:r>
      <w:r>
        <w:t>满足大部分室内外平时测试</w:t>
      </w:r>
      <w:r>
        <w:rPr>
          <w:rFonts w:hint="eastAsia"/>
        </w:rPr>
        <w:t>，</w:t>
      </w:r>
      <w:r>
        <w:t>场景的使用要求，但在赛场赛前准备环节</w:t>
      </w:r>
      <w:r>
        <w:rPr>
          <w:rFonts w:hint="eastAsia"/>
        </w:rPr>
        <w:t>，</w:t>
      </w:r>
      <w:r>
        <w:t>外接电池与充电宝会带来线材缠绕、设备摆放杂乱等问题，携带与操作都比较累赘</w:t>
      </w:r>
      <w:r>
        <w:rPr>
          <w:rFonts w:hint="eastAsia"/>
        </w:rPr>
        <w:t>，</w:t>
      </w:r>
      <w:r>
        <w:t>不利于赛前快速、高效地完成自瞄功能校验。</w:t>
      </w:r>
    </w:p>
    <w:p w14:paraId="6A5CAFBF">
      <w:r>
        <w:t>针对现有设备存在的上述痛点，本项目旨在设计开发一款集成化、便于携带，同时支持快速切换灯光颜色的手持装甲板。在保证装甲板发光效果稳定、能够被机器人自瞄系统稳定识别的前提下，简化外部配件，提升设备整体便携性，为日常调试以及赛场赛前自检提供高效便捷的测试工具。</w:t>
      </w:r>
    </w:p>
    <w:p w14:paraId="4E7C71B6">
      <w:pPr>
        <w:ind w:firstLine="0"/>
      </w:pPr>
      <w:bookmarkStart w:id="81" w:name="_GoBack"/>
      <w:bookmarkEnd w:id="81"/>
    </w:p>
    <w:p w14:paraId="412554A6">
      <w:pPr>
        <w:pStyle w:val="2"/>
      </w:pPr>
      <w:bookmarkStart w:id="9" w:name="_Toc21862"/>
      <w:r>
        <w:rPr>
          <w:rFonts w:hint="eastAsia"/>
        </w:rPr>
        <w:t>硬件设计综述</w:t>
      </w:r>
      <w:bookmarkEnd w:id="9"/>
    </w:p>
    <w:p w14:paraId="65C031D8">
      <w:pPr>
        <w:pStyle w:val="3"/>
      </w:pPr>
      <w:bookmarkStart w:id="10" w:name="_Toc3552"/>
      <w:bookmarkStart w:id="11" w:name="OLE_LINK4"/>
      <w:r>
        <w:rPr>
          <w:rFonts w:hint="eastAsia"/>
        </w:rPr>
        <w:t>电源</w:t>
      </w:r>
      <w:bookmarkEnd w:id="10"/>
    </w:p>
    <w:bookmarkEnd w:id="2"/>
    <w:bookmarkEnd w:id="3"/>
    <w:bookmarkEnd w:id="4"/>
    <w:bookmarkEnd w:id="5"/>
    <w:bookmarkEnd w:id="8"/>
    <w:bookmarkEnd w:id="11"/>
    <w:p w14:paraId="508BD73F">
      <w:pPr>
        <w:pStyle w:val="4"/>
      </w:pPr>
      <w:bookmarkStart w:id="12" w:name="_Toc15535"/>
      <w:bookmarkStart w:id="13" w:name="OLE_LINK13"/>
      <w:r>
        <w:rPr>
          <w:rFonts w:hint="eastAsia"/>
        </w:rPr>
        <w:t>供电</w:t>
      </w:r>
      <w:bookmarkEnd w:id="12"/>
    </w:p>
    <w:bookmarkEnd w:id="13"/>
    <w:p w14:paraId="7E0D4CFA">
      <w:pPr>
        <w:pStyle w:val="55"/>
        <w:spacing w:line="360" w:lineRule="auto"/>
        <w:ind w:firstLine="480" w:firstLineChars="200"/>
        <w:rPr>
          <w:rFonts w:hint="eastAsia"/>
        </w:rPr>
      </w:pPr>
      <w:r>
        <w:t>3.7V电池从背面</w:t>
      </w:r>
      <w:r>
        <w:rPr>
          <w:rFonts w:hint="eastAsia"/>
          <w:b/>
          <w:bCs/>
        </w:rPr>
        <w:t>BATTERY</w:t>
      </w:r>
      <w:r>
        <w:rPr>
          <w:rFonts w:hint="eastAsia"/>
        </w:rPr>
        <w:t>接口</w:t>
      </w:r>
      <w:r>
        <w:t>接入</w:t>
      </w:r>
      <w:r>
        <w:rPr>
          <w:rFonts w:hint="eastAsia"/>
        </w:rPr>
        <w:t>。为给从</w:t>
      </w:r>
      <w:r>
        <w:rPr>
          <w:rFonts w:hint="eastAsia"/>
          <w:b/>
          <w:bCs/>
        </w:rPr>
        <w:t>V_SENSOR</w:t>
      </w:r>
      <w:r>
        <w:rPr>
          <w:rFonts w:hint="eastAsia"/>
        </w:rPr>
        <w:t>接口插入的振动传感器提供所需额定电压，电池输入经过IP5306稳定输出5V电压。因STM32F103C8T6需要3.3V电压，5V输出输入ME6119再提供给MCU电路。</w:t>
      </w:r>
    </w:p>
    <w:p w14:paraId="45A09340">
      <w:pPr>
        <w:pStyle w:val="55"/>
        <w:spacing w:line="360" w:lineRule="auto"/>
        <w:ind w:firstLine="480" w:firstLineChars="200"/>
        <w:rPr>
          <w:rFonts w:hint="eastAsia"/>
        </w:rPr>
      </w:pPr>
      <w:r>
        <w:rPr>
          <w:rStyle w:val="18"/>
          <w:rFonts w:hint="eastAsia"/>
          <w:b w:val="0"/>
          <w:bCs w:val="0"/>
        </w:rPr>
        <w:t>在</w:t>
      </w:r>
      <w:r>
        <w:rPr>
          <w:rStyle w:val="18"/>
        </w:rPr>
        <w:t>USB POWER</w:t>
      </w:r>
      <w:r>
        <w:rPr>
          <w:rStyle w:val="18"/>
          <w:rFonts w:hint="eastAsia"/>
          <w:b w:val="0"/>
          <w:bCs w:val="0"/>
        </w:rPr>
        <w:t>接口插入充电宝</w:t>
      </w:r>
      <w:r>
        <w:t>也可以在不插电池的情况下给装甲板供电</w:t>
      </w:r>
      <w:r>
        <w:rPr>
          <w:rFonts w:hint="eastAsia"/>
        </w:rPr>
        <w:t>。</w:t>
      </w:r>
    </w:p>
    <w:p w14:paraId="20A2509B">
      <w:pPr>
        <w:pStyle w:val="55"/>
        <w:spacing w:line="360" w:lineRule="auto"/>
        <w:ind w:firstLine="480" w:firstLineChars="200"/>
        <w:rPr>
          <w:rFonts w:hint="eastAsia"/>
        </w:rPr>
      </w:pPr>
      <w:r>
        <w:rPr>
          <w:rFonts w:hint="eastAsia"/>
        </w:rPr>
        <w:t>ME6118为在板件通信时供电，不涉及手持装甲板功能。</w:t>
      </w:r>
    </w:p>
    <w:p w14:paraId="3462E57F">
      <w:pPr>
        <w:pStyle w:val="4"/>
      </w:pPr>
      <w:bookmarkStart w:id="14" w:name="_Toc19392"/>
      <w:r>
        <w:rPr>
          <w:rFonts w:hint="eastAsia"/>
        </w:rPr>
        <w:t>充电</w:t>
      </w:r>
      <w:bookmarkEnd w:id="14"/>
    </w:p>
    <w:p w14:paraId="3E8E2BAB">
      <w:r>
        <w:t>从</w:t>
      </w:r>
      <w:r>
        <w:rPr>
          <w:rStyle w:val="18"/>
        </w:rPr>
        <w:t>USB POWER</w:t>
      </w:r>
      <w:r>
        <w:t>插入充电宝给电池充电</w:t>
      </w:r>
      <w:r>
        <w:rPr>
          <w:rFonts w:hint="eastAsia"/>
        </w:rPr>
        <w:t>，注意在充电时要注意把开关拨到</w:t>
      </w:r>
      <w:r>
        <w:rPr>
          <w:rFonts w:hint="eastAsia"/>
          <w:b/>
          <w:bCs/>
        </w:rPr>
        <w:t>ON</w:t>
      </w:r>
      <w:r>
        <w:rPr>
          <w:rFonts w:hint="eastAsia"/>
        </w:rPr>
        <w:t>。装甲板背面四个LED指示灯表示电量。</w:t>
      </w:r>
    </w:p>
    <w:p w14:paraId="71ABACD8">
      <w:pPr>
        <w:pStyle w:val="3"/>
      </w:pPr>
      <w:bookmarkStart w:id="15" w:name="_Toc8068"/>
      <w:r>
        <w:rPr>
          <w:rFonts w:hint="eastAsia"/>
        </w:rPr>
        <w:t>信号部分</w:t>
      </w:r>
      <w:bookmarkEnd w:id="15"/>
    </w:p>
    <w:p w14:paraId="078C7682">
      <w:pPr>
        <w:pStyle w:val="4"/>
      </w:pPr>
      <w:bookmarkStart w:id="16" w:name="_Toc26374"/>
      <w:r>
        <w:rPr>
          <w:rFonts w:hint="eastAsia"/>
        </w:rPr>
        <w:t>灯条连接</w:t>
      </w:r>
      <w:bookmarkEnd w:id="16"/>
    </w:p>
    <w:p w14:paraId="2109DEF4">
      <w:r>
        <w:rPr>
          <w:rFonts w:hint="eastAsia"/>
        </w:rPr>
        <w:t>灯条与PCB由背面的</w:t>
      </w:r>
      <w:r>
        <w:rPr>
          <w:rFonts w:hint="eastAsia"/>
          <w:b/>
          <w:bCs/>
        </w:rPr>
        <w:t>LIGHT BAR</w:t>
      </w:r>
      <w:r>
        <w:rPr>
          <w:rFonts w:hint="eastAsia"/>
        </w:rPr>
        <w:t>接口连接，两侧灯条分别由PB10和PB14引脚控制。</w:t>
      </w:r>
    </w:p>
    <w:p w14:paraId="39A4154E">
      <w:pPr>
        <w:pStyle w:val="4"/>
      </w:pPr>
      <w:bookmarkStart w:id="17" w:name="_Toc14081"/>
      <w:r>
        <w:rPr>
          <w:rFonts w:hint="eastAsia"/>
        </w:rPr>
        <w:t>颜色切换</w:t>
      </w:r>
      <w:bookmarkEnd w:id="17"/>
    </w:p>
    <w:p w14:paraId="5715F17E">
      <w:r>
        <w:rPr>
          <w:rFonts w:hint="eastAsia"/>
        </w:rPr>
        <w:t>颜色切换由一个按键</w:t>
      </w:r>
      <w:r>
        <w:rPr>
          <w:rFonts w:hint="eastAsia"/>
          <w:b/>
          <w:bCs/>
        </w:rPr>
        <w:t>PA11</w:t>
      </w:r>
      <w:r>
        <w:rPr>
          <w:rFonts w:hint="eastAsia"/>
        </w:rPr>
        <w:t>控制，按键连接引脚PA11。</w:t>
      </w:r>
    </w:p>
    <w:p w14:paraId="5337ED68">
      <w:pPr>
        <w:pStyle w:val="4"/>
      </w:pPr>
      <w:bookmarkStart w:id="18" w:name="_Toc18104"/>
      <w:r>
        <w:rPr>
          <w:rFonts w:hint="eastAsia"/>
        </w:rPr>
        <w:t>烧录接口</w:t>
      </w:r>
      <w:bookmarkEnd w:id="18"/>
    </w:p>
    <w:p w14:paraId="52F93E54">
      <w:r>
        <w:rPr>
          <w:rFonts w:hint="eastAsia"/>
        </w:rPr>
        <w:t>烧录接口为PCB背面的</w:t>
      </w:r>
      <w:r>
        <w:rPr>
          <w:rFonts w:hint="eastAsia"/>
          <w:b/>
          <w:bCs/>
        </w:rPr>
        <w:t>SWD</w:t>
      </w:r>
      <w:r>
        <w:rPr>
          <w:rFonts w:hint="eastAsia"/>
        </w:rPr>
        <w:t>接口。连接主控芯片的PA13及PA14引脚。</w:t>
      </w:r>
    </w:p>
    <w:p w14:paraId="720E7402">
      <w:pPr>
        <w:pStyle w:val="4"/>
      </w:pPr>
      <w:bookmarkStart w:id="19" w:name="_Toc32527"/>
      <w:r>
        <w:rPr>
          <w:rFonts w:hint="eastAsia"/>
        </w:rPr>
        <w:t>其他接口</w:t>
      </w:r>
      <w:bookmarkEnd w:id="19"/>
    </w:p>
    <w:p w14:paraId="0DC0A205">
      <w:pPr>
        <w:rPr>
          <w:rFonts w:hint="eastAsia"/>
        </w:rPr>
      </w:pPr>
      <w:r>
        <w:rPr>
          <w:rFonts w:hint="eastAsia"/>
        </w:rPr>
        <w:t>PCB正面的两个</w:t>
      </w:r>
      <w:r>
        <w:rPr>
          <w:rFonts w:hint="eastAsia"/>
          <w:b/>
          <w:bCs/>
        </w:rPr>
        <w:t>IIC</w:t>
      </w:r>
      <w:r>
        <w:rPr>
          <w:rFonts w:hint="eastAsia"/>
        </w:rPr>
        <w:t>接口和</w:t>
      </w:r>
      <w:r>
        <w:rPr>
          <w:rFonts w:hint="eastAsia"/>
          <w:b/>
          <w:bCs/>
        </w:rPr>
        <w:t>UART</w:t>
      </w:r>
      <w:r>
        <w:rPr>
          <w:rFonts w:hint="eastAsia"/>
        </w:rPr>
        <w:t>接口，不涉及手持装甲板的功能。</w:t>
      </w:r>
    </w:p>
    <w:p w14:paraId="75090593">
      <w:pPr>
        <w:pStyle w:val="3"/>
      </w:pPr>
      <w:r>
        <w:rPr>
          <w:rFonts w:hint="eastAsia"/>
        </w:rPr>
        <w:t xml:space="preserve"> </w:t>
      </w:r>
      <w:bookmarkStart w:id="20" w:name="_Toc11336"/>
      <w:r>
        <w:rPr>
          <w:rFonts w:hint="eastAsia"/>
        </w:rPr>
        <w:t>使用说明</w:t>
      </w:r>
      <w:bookmarkEnd w:id="20"/>
    </w:p>
    <w:p w14:paraId="0A9D5266">
      <w:pPr>
        <w:pStyle w:val="4"/>
      </w:pPr>
      <w:bookmarkStart w:id="21" w:name="_Toc15314"/>
      <w:r>
        <w:rPr>
          <w:rFonts w:hint="eastAsia"/>
        </w:rPr>
        <w:t>原理图及PCB 3D图</w:t>
      </w:r>
      <w:bookmarkEnd w:id="21"/>
    </w:p>
    <w:p w14:paraId="509C0AFD">
      <w:pPr>
        <w:jc w:val="center"/>
      </w:pPr>
      <w:r>
        <w:drawing>
          <wp:inline distT="0" distB="0" distL="0" distR="0">
            <wp:extent cx="4841240" cy="3466465"/>
            <wp:effectExtent l="0" t="0" r="0" b="635"/>
            <wp:docPr id="13046488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648859" name="图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5398" cy="347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98752">
      <w:pPr>
        <w:jc w:val="center"/>
      </w:pPr>
      <w:r>
        <w:rPr>
          <w:rFonts w:hint="eastAsia"/>
        </w:rPr>
        <w:t>图1 原理图</w:t>
      </w:r>
    </w:p>
    <w:p w14:paraId="11ED1787">
      <w:pPr>
        <w:jc w:val="center"/>
      </w:pPr>
      <w:r>
        <w:drawing>
          <wp:inline distT="0" distB="0" distL="0" distR="0">
            <wp:extent cx="5285740" cy="3387090"/>
            <wp:effectExtent l="0" t="0" r="0" b="3810"/>
            <wp:docPr id="10043769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376983" name="图片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9476" cy="341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A37AC">
      <w:pPr>
        <w:jc w:val="center"/>
      </w:pPr>
      <w:r>
        <w:rPr>
          <w:rFonts w:hint="eastAsia"/>
        </w:rPr>
        <w:t>图2 PCB正面3D图</w:t>
      </w:r>
    </w:p>
    <w:p w14:paraId="531EF9CD">
      <w:pPr>
        <w:jc w:val="center"/>
      </w:pPr>
      <w:r>
        <w:drawing>
          <wp:inline distT="0" distB="0" distL="0" distR="0">
            <wp:extent cx="5134610" cy="3362960"/>
            <wp:effectExtent l="0" t="0" r="8890" b="8890"/>
            <wp:docPr id="10433430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34301" name="图片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4"/>
                    <a:stretch>
                      <a:fillRect/>
                    </a:stretch>
                  </pic:blipFill>
                  <pic:spPr>
                    <a:xfrm>
                      <a:off x="0" y="0"/>
                      <a:ext cx="5177903" cy="339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6685D">
      <w:pPr>
        <w:jc w:val="center"/>
      </w:pPr>
      <w:r>
        <w:rPr>
          <w:rFonts w:hint="eastAsia"/>
        </w:rPr>
        <w:t>图3 PCB背面3D图</w:t>
      </w:r>
    </w:p>
    <w:p w14:paraId="09CF1752">
      <w:pPr>
        <w:pStyle w:val="4"/>
      </w:pPr>
      <w:bookmarkStart w:id="22" w:name="_Toc14786"/>
      <w:r>
        <w:rPr>
          <w:rFonts w:hint="eastAsia"/>
        </w:rPr>
        <w:t>电源控制及颜色切换</w:t>
      </w:r>
      <w:bookmarkEnd w:id="22"/>
    </w:p>
    <w:p w14:paraId="5DA22FD9">
      <w:pPr>
        <w:pStyle w:val="55"/>
        <w:spacing w:line="360" w:lineRule="auto"/>
        <w:ind w:firstLine="482" w:firstLineChars="200"/>
        <w:rPr>
          <w:rFonts w:hint="eastAsia"/>
        </w:rPr>
      </w:pPr>
      <w:r>
        <w:rPr>
          <w:rStyle w:val="18"/>
        </w:rPr>
        <w:t>OUTPUT</w:t>
      </w:r>
      <w:r>
        <w:t>按键控制电池输出，</w:t>
      </w:r>
      <w:r>
        <w:rPr>
          <w:rStyle w:val="18"/>
        </w:rPr>
        <w:t>POWER</w:t>
      </w:r>
      <w:r>
        <w:t>开关拨到</w:t>
      </w:r>
      <w:r>
        <w:rPr>
          <w:rStyle w:val="18"/>
          <w:b w:val="0"/>
          <w:bCs w:val="0"/>
        </w:rPr>
        <w:t>ON</w:t>
      </w:r>
      <w:r>
        <w:rPr>
          <w:rStyle w:val="18"/>
          <w:rFonts w:hint="eastAsia"/>
          <w:b w:val="0"/>
          <w:bCs w:val="0"/>
        </w:rPr>
        <w:t>后再</w:t>
      </w:r>
      <w:r>
        <w:t>短按</w:t>
      </w:r>
      <w:r>
        <w:rPr>
          <w:rFonts w:hint="eastAsia"/>
        </w:rPr>
        <w:t>按键</w:t>
      </w:r>
      <w:r>
        <w:rPr>
          <w:rFonts w:hint="eastAsia"/>
          <w:b/>
          <w:bCs/>
        </w:rPr>
        <w:t>OUTPUT</w:t>
      </w:r>
      <w:r>
        <w:t>（持续时间长于 50ms，但小于 2s）会打开电量显示灯和升压输出，在1s内连续两次短按键，会关闭升压输出、电量显示</w:t>
      </w:r>
      <w:r>
        <w:rPr>
          <w:rFonts w:hint="eastAsia"/>
        </w:rPr>
        <w:t>。</w:t>
      </w:r>
    </w:p>
    <w:p w14:paraId="27C0BAEC">
      <w:pPr>
        <w:ind w:firstLine="480" w:firstLineChars="200"/>
      </w:pPr>
      <w:r>
        <w:t>拨到</w:t>
      </w:r>
      <w:r>
        <w:rPr>
          <w:rStyle w:val="18"/>
        </w:rPr>
        <w:t>OFF</w:t>
      </w:r>
      <w:r>
        <w:t>电源关</w:t>
      </w:r>
      <w:r>
        <w:rPr>
          <w:rFonts w:hint="eastAsia"/>
        </w:rPr>
        <w:t>断。</w:t>
      </w:r>
    </w:p>
    <w:p w14:paraId="4D6EEA3D">
      <w:pPr>
        <w:ind w:firstLine="480" w:firstLineChars="200"/>
        <w:rPr>
          <w:rFonts w:hint="eastAsia"/>
        </w:rPr>
      </w:pPr>
      <w:r>
        <w:rPr>
          <w:rFonts w:hint="eastAsia"/>
        </w:rPr>
        <w:t>颜色切换时只需短按一次</w:t>
      </w:r>
      <w:r>
        <w:rPr>
          <w:rFonts w:hint="eastAsia"/>
          <w:b/>
          <w:bCs/>
        </w:rPr>
        <w:t>PA11</w:t>
      </w:r>
      <w:r>
        <w:rPr>
          <w:rFonts w:hint="eastAsia"/>
        </w:rPr>
        <w:t>按键。</w:t>
      </w:r>
    </w:p>
    <w:p w14:paraId="379946C1">
      <w:pPr>
        <w:pStyle w:val="2"/>
        <w:bidi w:val="0"/>
        <w:rPr>
          <w:rFonts w:hint="eastAsia"/>
        </w:rPr>
      </w:pPr>
      <w:bookmarkStart w:id="23" w:name="_Toc9150"/>
      <w:r>
        <w:rPr>
          <w:rFonts w:hint="eastAsia"/>
          <w:lang w:val="en-US" w:eastAsia="zh-CN"/>
        </w:rPr>
        <w:t>软件设计</w:t>
      </w:r>
      <w:bookmarkEnd w:id="23"/>
    </w:p>
    <w:p w14:paraId="0899A750">
      <w:pPr>
        <w:pStyle w:val="3"/>
      </w:pPr>
      <w:bookmarkStart w:id="24" w:name="_Toc238028006"/>
      <w:bookmarkStart w:id="25" w:name="_Toc15890"/>
      <w:r>
        <w:t>功能目标</w:t>
      </w:r>
      <w:bookmarkEnd w:id="24"/>
      <w:r>
        <w:rPr>
          <w:rFonts w:hint="eastAsia"/>
          <w:lang w:val="en-US" w:eastAsia="zh-CN"/>
        </w:rPr>
        <w:t>与核心逻辑</w:t>
      </w:r>
      <w:bookmarkEnd w:id="25"/>
    </w:p>
    <w:p w14:paraId="4F75ED01">
      <w:pPr>
        <w:pStyle w:val="4"/>
        <w:bidi w:val="0"/>
      </w:pPr>
      <w:bookmarkStart w:id="26" w:name="_Toc6956"/>
      <w:r>
        <w:rPr>
          <w:rFonts w:hint="eastAsia"/>
          <w:lang w:val="en-US" w:eastAsia="zh-CN"/>
        </w:rPr>
        <w:t>功能目标</w:t>
      </w:r>
      <w:bookmarkEnd w:id="26"/>
    </w:p>
    <w:p w14:paraId="09B46D86">
      <w:r>
        <w:t>本项目基于 STM32F103C8T6 和 STM32CubeMX 生成的 HAL 库工程，循环读取 PA11 按键输入。程序通过短延时二次确认过滤机械抖动，并用锁存标志保证一次完整按压只计数一次。每确认一次有效按键，计数值加 1；计数为奇数时将 PB14 拉高，计数为偶数时将 PB14 拉低。</w:t>
      </w:r>
    </w:p>
    <w:p w14:paraId="69DA6FC4">
      <w:pPr>
        <w:pStyle w:val="4"/>
        <w:bidi w:val="0"/>
      </w:pPr>
      <w:bookmarkStart w:id="27" w:name="_Toc238028007"/>
      <w:bookmarkStart w:id="28" w:name="_Toc8394"/>
      <w:r>
        <w:t>核心逻辑</w:t>
      </w:r>
      <w:bookmarkEnd w:id="27"/>
      <w:bookmarkEnd w:id="28"/>
    </w:p>
    <w:p w14:paraId="7BFE93FB">
      <w:r>
        <w:rPr>
          <w:b/>
        </w:rPr>
        <w:t>输入：</w:t>
      </w:r>
      <w:r>
        <w:t>PA11，配置为 GPIO 输入。本文按常见接法假设按键按下为低电平。</w:t>
      </w:r>
    </w:p>
    <w:p w14:paraId="708005F5">
      <w:r>
        <w:rPr>
          <w:b/>
        </w:rPr>
        <w:t>输出：</w:t>
      </w:r>
      <w:r>
        <w:t>PB14，配置为推挽输出，复位后的初始状态为低电平。</w:t>
      </w:r>
    </w:p>
    <w:p w14:paraId="7A7178EB">
      <w:r>
        <w:rPr>
          <w:b/>
        </w:rPr>
        <w:t>消抖：</w:t>
      </w:r>
      <w:r>
        <w:t>检测到电平变化后延时 20 ms 并再次读取；按下后置位 key_lock，释放稳定后清零。</w:t>
      </w:r>
    </w:p>
    <w:p w14:paraId="6E38C561">
      <w:r>
        <w:rPr>
          <w:b/>
        </w:rPr>
        <w:t>计数：</w:t>
      </w:r>
      <w:r>
        <w:t>key_count 每次有效按下加 1，使用最低位判断奇偶。</w:t>
      </w:r>
    </w:p>
    <w:p w14:paraId="12F91DBE">
      <w:r>
        <w:rPr>
          <w:b/>
        </w:rPr>
        <w:t>输出规则：</w:t>
      </w:r>
      <w:r>
        <w:t>key_count 为奇数时 PB14=高电平；为偶数时 PB14=低电平。</w:t>
      </w:r>
    </w:p>
    <w:p w14:paraId="79F6AD1B">
      <w:pPr>
        <w:pStyle w:val="4"/>
        <w:bidi w:val="0"/>
      </w:pPr>
      <w:bookmarkStart w:id="29" w:name="_Toc238028008"/>
      <w:bookmarkStart w:id="30" w:name="_Toc5532"/>
      <w:r>
        <w:t>实现</w:t>
      </w:r>
      <w:bookmarkEnd w:id="29"/>
      <w:bookmarkEnd w:id="30"/>
    </w:p>
    <w:p w14:paraId="075BCFA9">
      <w:r>
        <w:t>本文采用“内部上拉、按下为低”的方案；如果</w:t>
      </w:r>
      <w:r>
        <w:rPr>
          <w:rFonts w:hint="eastAsia"/>
          <w:lang w:val="en-US" w:eastAsia="zh-CN"/>
        </w:rPr>
        <w:t>内部电路</w:t>
      </w:r>
      <w:r>
        <w:t>按下读取为高电平，只需把 PA11 改为下拉输入并对调 GPIO_PIN_SET 与 GPIO_PIN_RESET 的判断。PB14 的高低电平严格按需求输出，灯是否点亮还取决于板上 LED 或驱动电路的有效电平。</w:t>
      </w:r>
    </w:p>
    <w:p w14:paraId="503DE9E6">
      <w:pPr>
        <w:pStyle w:val="3"/>
        <w:bidi w:val="0"/>
      </w:pPr>
      <w:bookmarkStart w:id="31" w:name="_Toc20694"/>
      <w:r>
        <w:rPr>
          <w:rFonts w:hint="eastAsia"/>
          <w:lang w:val="en-US" w:eastAsia="zh-CN"/>
        </w:rPr>
        <w:t>CubeMX配置</w:t>
      </w:r>
      <w:bookmarkEnd w:id="31"/>
    </w:p>
    <w:p w14:paraId="09CED8DB">
      <w:pPr>
        <w:pStyle w:val="4"/>
        <w:bidi w:val="0"/>
      </w:pPr>
      <w:bookmarkStart w:id="32" w:name="_Toc238028011"/>
      <w:bookmarkStart w:id="33" w:name="_Toc4618"/>
      <w:r>
        <w:t>CubeMX 引脚配置</w:t>
      </w:r>
      <w:bookmarkEnd w:id="32"/>
      <w:bookmarkEnd w:id="33"/>
    </w:p>
    <w:tbl>
      <w:tblPr>
        <w:tblStyle w:val="16"/>
        <w:tblW w:w="9356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552"/>
      </w:tblGrid>
      <w:tr w14:paraId="5E200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tblHeader/>
        </w:trPr>
        <w:tc>
          <w:tcPr>
            <w:tcW w:w="2268" w:type="dxa"/>
            <w:shd w:val="clear" w:color="auto" w:fill="F1F1F1" w:themeFill="background1" w:themeFillShade="F2"/>
            <w:vAlign w:val="center"/>
          </w:tcPr>
          <w:p w14:paraId="5F61F71D">
            <w:pPr>
              <w:pStyle w:val="47"/>
            </w:pPr>
            <w:r>
              <w:rPr>
                <w:b/>
              </w:rPr>
              <w:t>配置项</w:t>
            </w:r>
          </w:p>
        </w:tc>
        <w:tc>
          <w:tcPr>
            <w:tcW w:w="2268" w:type="dxa"/>
            <w:shd w:val="clear" w:color="auto" w:fill="F1F1F1" w:themeFill="background1" w:themeFillShade="F2"/>
            <w:vAlign w:val="center"/>
          </w:tcPr>
          <w:p w14:paraId="4C51FE28">
            <w:pPr>
              <w:pStyle w:val="47"/>
            </w:pPr>
            <w:r>
              <w:rPr>
                <w:b/>
              </w:rPr>
              <w:t>PA11</w:t>
            </w:r>
          </w:p>
        </w:tc>
        <w:tc>
          <w:tcPr>
            <w:tcW w:w="2268" w:type="dxa"/>
            <w:shd w:val="clear" w:color="auto" w:fill="F1F1F1" w:themeFill="background1" w:themeFillShade="F2"/>
            <w:vAlign w:val="center"/>
          </w:tcPr>
          <w:p w14:paraId="00903095">
            <w:pPr>
              <w:pStyle w:val="47"/>
            </w:pPr>
            <w:r>
              <w:rPr>
                <w:b/>
              </w:rPr>
              <w:t>PB14</w:t>
            </w:r>
          </w:p>
        </w:tc>
        <w:tc>
          <w:tcPr>
            <w:tcW w:w="2552" w:type="dxa"/>
            <w:shd w:val="clear" w:color="auto" w:fill="F1F1F1" w:themeFill="background1" w:themeFillShade="F2"/>
            <w:vAlign w:val="center"/>
          </w:tcPr>
          <w:p w14:paraId="36A474C2">
            <w:pPr>
              <w:pStyle w:val="47"/>
            </w:pPr>
            <w:r>
              <w:rPr>
                <w:b/>
              </w:rPr>
              <w:t>建议值</w:t>
            </w:r>
          </w:p>
        </w:tc>
      </w:tr>
      <w:tr w14:paraId="7BA3D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2268" w:type="dxa"/>
            <w:vAlign w:val="center"/>
          </w:tcPr>
          <w:p w14:paraId="0E753832">
            <w:pPr>
              <w:pStyle w:val="47"/>
            </w:pPr>
            <w:r>
              <w:t>GPIO 模式</w:t>
            </w:r>
          </w:p>
        </w:tc>
        <w:tc>
          <w:tcPr>
            <w:tcW w:w="2268" w:type="dxa"/>
            <w:vAlign w:val="center"/>
          </w:tcPr>
          <w:p w14:paraId="41F98E23">
            <w:pPr>
              <w:pStyle w:val="47"/>
            </w:pPr>
            <w:r>
              <w:t>Input</w:t>
            </w:r>
          </w:p>
        </w:tc>
        <w:tc>
          <w:tcPr>
            <w:tcW w:w="2268" w:type="dxa"/>
            <w:vAlign w:val="center"/>
          </w:tcPr>
          <w:p w14:paraId="1DCEA27E">
            <w:pPr>
              <w:pStyle w:val="47"/>
            </w:pPr>
            <w:r>
              <w:t>Output Push Pull</w:t>
            </w:r>
          </w:p>
        </w:tc>
        <w:tc>
          <w:tcPr>
            <w:tcW w:w="2552" w:type="dxa"/>
            <w:vAlign w:val="center"/>
          </w:tcPr>
          <w:p w14:paraId="1B3C8415">
            <w:pPr>
              <w:pStyle w:val="47"/>
            </w:pPr>
            <w:r>
              <w:t>普通轮询，不使用中断</w:t>
            </w:r>
          </w:p>
        </w:tc>
      </w:tr>
      <w:tr w14:paraId="6732E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2268" w:type="dxa"/>
            <w:vAlign w:val="center"/>
          </w:tcPr>
          <w:p w14:paraId="57A123BA">
            <w:pPr>
              <w:pStyle w:val="47"/>
            </w:pPr>
            <w:r>
              <w:t>Pull</w:t>
            </w:r>
          </w:p>
        </w:tc>
        <w:tc>
          <w:tcPr>
            <w:tcW w:w="2268" w:type="dxa"/>
            <w:vAlign w:val="center"/>
          </w:tcPr>
          <w:p w14:paraId="5BE4804B">
            <w:pPr>
              <w:pStyle w:val="47"/>
            </w:pPr>
            <w:r>
              <w:t>Pull-up</w:t>
            </w:r>
          </w:p>
        </w:tc>
        <w:tc>
          <w:tcPr>
            <w:tcW w:w="2268" w:type="dxa"/>
            <w:vAlign w:val="center"/>
          </w:tcPr>
          <w:p w14:paraId="681AA266">
            <w:pPr>
              <w:pStyle w:val="47"/>
            </w:pPr>
            <w:r>
              <w:t>No pull</w:t>
            </w:r>
          </w:p>
        </w:tc>
        <w:tc>
          <w:tcPr>
            <w:tcW w:w="2552" w:type="dxa"/>
            <w:vAlign w:val="center"/>
          </w:tcPr>
          <w:p w14:paraId="60D50522">
            <w:pPr>
              <w:pStyle w:val="47"/>
            </w:pPr>
            <w:r>
              <w:t>与按下低电平假设配套</w:t>
            </w:r>
          </w:p>
        </w:tc>
      </w:tr>
      <w:tr w14:paraId="6FFD5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2268" w:type="dxa"/>
            <w:vAlign w:val="center"/>
          </w:tcPr>
          <w:p w14:paraId="25E0ADA6">
            <w:pPr>
              <w:pStyle w:val="47"/>
            </w:pPr>
            <w:r>
              <w:t>输出速度</w:t>
            </w:r>
          </w:p>
        </w:tc>
        <w:tc>
          <w:tcPr>
            <w:tcW w:w="2268" w:type="dxa"/>
            <w:vAlign w:val="center"/>
          </w:tcPr>
          <w:p w14:paraId="37728A61">
            <w:pPr>
              <w:pStyle w:val="47"/>
            </w:pPr>
            <w:r>
              <w:t>—</w:t>
            </w:r>
          </w:p>
        </w:tc>
        <w:tc>
          <w:tcPr>
            <w:tcW w:w="2268" w:type="dxa"/>
            <w:vAlign w:val="center"/>
          </w:tcPr>
          <w:p w14:paraId="4033733F">
            <w:pPr>
              <w:pStyle w:val="47"/>
            </w:pPr>
            <w:r>
              <w:t>Low</w:t>
            </w:r>
          </w:p>
        </w:tc>
        <w:tc>
          <w:tcPr>
            <w:tcW w:w="2552" w:type="dxa"/>
            <w:vAlign w:val="center"/>
          </w:tcPr>
          <w:p w14:paraId="10D900B8">
            <w:pPr>
              <w:pStyle w:val="47"/>
            </w:pPr>
            <w:r>
              <w:t>灯控无需高速翻转</w:t>
            </w:r>
          </w:p>
        </w:tc>
      </w:tr>
      <w:tr w14:paraId="00412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2268" w:type="dxa"/>
            <w:vAlign w:val="center"/>
          </w:tcPr>
          <w:p w14:paraId="65AFE4BB">
            <w:pPr>
              <w:pStyle w:val="47"/>
            </w:pPr>
            <w:r>
              <w:t>初始电平</w:t>
            </w:r>
          </w:p>
        </w:tc>
        <w:tc>
          <w:tcPr>
            <w:tcW w:w="2268" w:type="dxa"/>
            <w:vAlign w:val="center"/>
          </w:tcPr>
          <w:p w14:paraId="27E6C65B">
            <w:pPr>
              <w:pStyle w:val="47"/>
            </w:pPr>
            <w:r>
              <w:t>—</w:t>
            </w:r>
          </w:p>
        </w:tc>
        <w:tc>
          <w:tcPr>
            <w:tcW w:w="2268" w:type="dxa"/>
            <w:vAlign w:val="center"/>
          </w:tcPr>
          <w:p w14:paraId="5B546487">
            <w:pPr>
              <w:pStyle w:val="47"/>
            </w:pPr>
            <w:r>
              <w:t>Low</w:t>
            </w:r>
          </w:p>
        </w:tc>
        <w:tc>
          <w:tcPr>
            <w:tcW w:w="2552" w:type="dxa"/>
            <w:vAlign w:val="center"/>
          </w:tcPr>
          <w:p w14:paraId="4FA17638">
            <w:pPr>
              <w:pStyle w:val="47"/>
            </w:pPr>
            <w:r>
              <w:t>计数初值 0 为偶数</w:t>
            </w:r>
          </w:p>
        </w:tc>
      </w:tr>
      <w:tr w14:paraId="7674E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2268" w:type="dxa"/>
            <w:vAlign w:val="center"/>
          </w:tcPr>
          <w:p w14:paraId="5D9260DB">
            <w:pPr>
              <w:pStyle w:val="47"/>
            </w:pPr>
            <w:r>
              <w:t>User Label</w:t>
            </w:r>
          </w:p>
        </w:tc>
        <w:tc>
          <w:tcPr>
            <w:tcW w:w="2268" w:type="dxa"/>
            <w:vAlign w:val="center"/>
          </w:tcPr>
          <w:p w14:paraId="539A9C1B">
            <w:pPr>
              <w:pStyle w:val="47"/>
            </w:pPr>
            <w:r>
              <w:t>KEY_PA11</w:t>
            </w:r>
          </w:p>
        </w:tc>
        <w:tc>
          <w:tcPr>
            <w:tcW w:w="2268" w:type="dxa"/>
            <w:vAlign w:val="center"/>
          </w:tcPr>
          <w:p w14:paraId="6D63AB45">
            <w:pPr>
              <w:pStyle w:val="47"/>
            </w:pPr>
            <w:r>
              <w:t>LED_PB14</w:t>
            </w:r>
          </w:p>
        </w:tc>
        <w:tc>
          <w:tcPr>
            <w:tcW w:w="2552" w:type="dxa"/>
            <w:vAlign w:val="center"/>
          </w:tcPr>
          <w:p w14:paraId="23AE72C0">
            <w:pPr>
              <w:pStyle w:val="47"/>
            </w:pPr>
            <w:r>
              <w:t>可选，便于阅读</w:t>
            </w:r>
          </w:p>
        </w:tc>
      </w:tr>
    </w:tbl>
    <w:p w14:paraId="7EADE92F">
      <w:pPr>
        <w:pStyle w:val="4"/>
        <w:bidi w:val="0"/>
      </w:pPr>
      <w:bookmarkStart w:id="34" w:name="_Toc238028012"/>
      <w:bookmarkStart w:id="35" w:name="_Toc30197"/>
      <w:r>
        <w:t>外设冲突检查</w:t>
      </w:r>
      <w:bookmarkEnd w:id="34"/>
      <w:bookmarkEnd w:id="35"/>
    </w:p>
    <w:p w14:paraId="70D7B991">
      <w:r>
        <w:t>PA11 也是 USB_DM 复用引脚。若 CubeMX 中启用了 USB 外设，PA11 不能同时作为普通按键输入；本项目应关闭 USB。PB14 可能与 SPI2_MISO 等复用功能冲突，若使用 SPI2，应重新确认引脚分配。</w:t>
      </w:r>
    </w:p>
    <w:p w14:paraId="36A3AB38">
      <w:pPr>
        <w:pStyle w:val="3"/>
        <w:bidi w:val="0"/>
      </w:pPr>
      <w:bookmarkStart w:id="36" w:name="_Toc4873"/>
      <w:r>
        <w:rPr>
          <w:rFonts w:hint="eastAsia"/>
          <w:lang w:val="en-US" w:eastAsia="zh-CN"/>
        </w:rPr>
        <w:t>软件流程与状态变量</w:t>
      </w:r>
      <w:bookmarkEnd w:id="36"/>
    </w:p>
    <w:p w14:paraId="7E698A01">
      <w:pPr>
        <w:pStyle w:val="4"/>
        <w:bidi w:val="0"/>
      </w:pPr>
      <w:bookmarkStart w:id="37" w:name="_Toc238028014"/>
      <w:bookmarkStart w:id="38" w:name="_Toc25344"/>
      <w:r>
        <w:t>状态变量</w:t>
      </w:r>
      <w:bookmarkEnd w:id="37"/>
      <w:bookmarkEnd w:id="38"/>
    </w:p>
    <w:p w14:paraId="31E047E4">
      <w:r>
        <w:rPr>
          <w:b/>
        </w:rPr>
        <w:t>key_lock：</w:t>
      </w:r>
      <w:r>
        <w:t>按下事件锁存标志。初值为 0；确认按下后置 1；确认释放后清 0。</w:t>
      </w:r>
    </w:p>
    <w:p w14:paraId="0432D5AA">
      <w:r>
        <w:rPr>
          <w:b/>
        </w:rPr>
        <w:t>key_count：</w:t>
      </w:r>
      <w:r>
        <w:t>有效按键次数。初值为 0，只有在 key_lock 为 0 且按键二次确认有效时才加 1。</w:t>
      </w:r>
    </w:p>
    <w:p w14:paraId="2D3B9A73">
      <w:pPr>
        <w:pStyle w:val="4"/>
        <w:bidi w:val="0"/>
      </w:pPr>
      <w:bookmarkStart w:id="39" w:name="_Toc238028015"/>
      <w:bookmarkStart w:id="40" w:name="_Toc14454"/>
      <w:r>
        <w:t>循环扫描流程</w:t>
      </w:r>
      <w:bookmarkEnd w:id="39"/>
      <w:bookmarkEnd w:id="40"/>
    </w:p>
    <w:p w14:paraId="62A0F063">
      <w:r>
        <w:t>读取 PA11 当前电平。若为低电平且 key_lock=0，则延时 20 ms 后再次读取；仍为低电平说明按下有效，此时置 key_lock=1、key_count 加 1，并根据 key_count 的最低位更新 PB14。若检测到高电平且 key_lock=1，则同样延时 20 ms 确认释放，稳定释放后清零 key_lock，允许下一次按压计数。</w:t>
      </w:r>
    </w:p>
    <w:p w14:paraId="5332F229">
      <w:pPr>
        <w:pStyle w:val="4"/>
        <w:bidi w:val="0"/>
      </w:pPr>
      <w:bookmarkStart w:id="41" w:name="_Toc238028016"/>
      <w:bookmarkStart w:id="42" w:name="_Toc30517"/>
      <w:r>
        <w:t>标志位消抖的作用</w:t>
      </w:r>
      <w:bookmarkEnd w:id="41"/>
      <w:bookmarkEnd w:id="42"/>
    </w:p>
    <w:p w14:paraId="6480F3D2">
      <w:r>
        <w:t>机械按键在按下与释放瞬间可能连续跳变。如果只在 while(1) 中直接累加，长按期间会被循环读取成多次事件。20 ms 二次确认负责滤掉短促毛刺，key_lock 负责把“按住”转换成单次事件；两者结合后，一次完整的按下—释放周期只产生一次计数。</w:t>
      </w:r>
    </w:p>
    <w:p w14:paraId="4216B2D4">
      <w:pPr>
        <w:pStyle w:val="4"/>
        <w:bidi w:val="0"/>
      </w:pPr>
      <w:bookmarkStart w:id="43" w:name="_Toc238028017"/>
      <w:bookmarkStart w:id="44" w:name="_Toc4098"/>
      <w:r>
        <w:t>奇偶控制</w:t>
      </w:r>
      <w:bookmarkEnd w:id="43"/>
      <w:bookmarkEnd w:id="44"/>
    </w:p>
    <w:p w14:paraId="7BD74C4C">
      <w:r>
        <w:t>使用表达式 (key_count &amp; 0x01U) 判断最低位：结果非 0 表示奇数，将 PB14 置高；结果为 0 表示偶数，将 PB14 置低。uint32_t 溢出回 0 后奇偶关系仍然连续，不影响翻转规律。</w:t>
      </w:r>
    </w:p>
    <w:p w14:paraId="0D970549">
      <w:pPr>
        <w:pStyle w:val="3"/>
        <w:bidi w:val="0"/>
      </w:pPr>
      <w:bookmarkStart w:id="45" w:name="_Toc238028018"/>
      <w:bookmarkStart w:id="46" w:name="_Toc20267"/>
      <w:r>
        <w:t>参考代码</w:t>
      </w:r>
      <w:bookmarkEnd w:id="45"/>
      <w:bookmarkEnd w:id="46"/>
    </w:p>
    <w:p w14:paraId="75B276CA">
      <w:pPr>
        <w:pStyle w:val="4"/>
        <w:bidi w:val="0"/>
      </w:pPr>
      <w:bookmarkStart w:id="47" w:name="_Toc238028019"/>
      <w:bookmarkStart w:id="48" w:name="_Toc6895"/>
      <w:r>
        <w:t>用户变量与函数声明</w:t>
      </w:r>
      <w:bookmarkEnd w:id="47"/>
      <w:bookmarkEnd w:id="48"/>
    </w:p>
    <w:p w14:paraId="5A842934">
      <w:r>
        <w:t>以下内容放入 CubeMX 生成的 main.c 对应 USER CODE 区域，避免再次生成代码时被覆盖。</w:t>
      </w:r>
    </w:p>
    <w:p w14:paraId="1B2D999E">
      <w:pPr>
        <w:keepLines/>
        <w:shd w:val="clear" w:color="auto" w:fill="F3F5F5"/>
        <w:spacing w:after="100" w:line="240" w:lineRule="auto"/>
        <w:ind w:left="255" w:right="113" w:firstLine="0"/>
      </w:pPr>
      <w:r>
        <w:rPr>
          <w:rFonts w:ascii="Consolas" w:hAnsi="Consolas" w:eastAsia="等线"/>
          <w:sz w:val="18"/>
        </w:rPr>
        <w:t>/* USER CODE BEGIN PV */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static uint8_t key_lock = 0U;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static uint32_t key_count = 0U;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/* USER CODE END PV */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/* USER CODE BEGIN PFP */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static void Key_LED_Task(void);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/* USER CODE END PFP */</w:t>
      </w:r>
    </w:p>
    <w:p w14:paraId="3F6B0130">
      <w:pPr>
        <w:pStyle w:val="4"/>
        <w:bidi w:val="0"/>
      </w:pPr>
      <w:bookmarkStart w:id="49" w:name="_Toc238028020"/>
      <w:bookmarkStart w:id="50" w:name="_Toc27163"/>
      <w:r>
        <w:t>按键扫描与灯控函数</w:t>
      </w:r>
      <w:bookmarkEnd w:id="49"/>
      <w:bookmarkEnd w:id="50"/>
    </w:p>
    <w:p w14:paraId="07197086">
      <w:pPr>
        <w:keepLines/>
        <w:shd w:val="clear" w:color="auto" w:fill="F3F5F5"/>
        <w:spacing w:after="100" w:line="240" w:lineRule="auto"/>
        <w:ind w:left="255" w:right="113" w:firstLine="0"/>
      </w:pPr>
      <w:r>
        <w:rPr>
          <w:rFonts w:ascii="Consolas" w:hAnsi="Consolas" w:eastAsia="等线"/>
          <w:sz w:val="18"/>
        </w:rPr>
        <w:t>/* USER CODE BEGIN 4 */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static void Key_LED_Task(void)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{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GPIO_PinState key_state;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key_state = HAL_GPIO_ReadPin(GPIOA, GPIO_PIN_11);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if ((key_state == GPIO_PIN_RESET) &amp;&amp; (key_lock == 0U))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{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HAL_Delay(20U);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if (HAL_GPIO_ReadPin(GPIOA, GPIO_PIN_11) == GPIO_PIN_RESET)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{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    key_lock = 1U;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    key_count++;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    if ((key_count &amp; 0x01U) != 0U)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    {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        HAL_GPIO_WritePin(GPIOB, GPIO_PIN_14, GPIO_PIN_SET);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    }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    else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    {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        HAL_GPIO_WritePin(GPIOB, GPIO_PIN_14, GPIO_PIN_RESET);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    }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}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}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else if ((key_state == GPIO_PIN_SET) &amp;&amp; (key_lock != 0U))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{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HAL_Delay(20U);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if (HAL_GPIO_ReadPin(GPIOA, GPIO_PIN_11) == GPIO_PIN_SET)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{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    key_lock = 0U;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    }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}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}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/* USER CODE END 4 */</w:t>
      </w:r>
    </w:p>
    <w:p w14:paraId="75FE6F3C">
      <w:pPr>
        <w:pStyle w:val="4"/>
        <w:bidi w:val="0"/>
      </w:pPr>
      <w:bookmarkStart w:id="51" w:name="_Toc238028021"/>
      <w:bookmarkStart w:id="52" w:name="_Toc15011"/>
      <w:r>
        <w:t>主循环调用</w:t>
      </w:r>
      <w:bookmarkEnd w:id="51"/>
      <w:bookmarkEnd w:id="52"/>
    </w:p>
    <w:p w14:paraId="3CFE5798">
      <w:pPr>
        <w:keepLines/>
        <w:shd w:val="clear" w:color="auto" w:fill="F3F5F5"/>
        <w:spacing w:after="100" w:line="240" w:lineRule="auto"/>
        <w:ind w:left="255" w:right="113" w:firstLine="0"/>
      </w:pPr>
      <w:r>
        <w:rPr>
          <w:rFonts w:ascii="Consolas" w:hAnsi="Consolas" w:eastAsia="等线"/>
          <w:sz w:val="18"/>
        </w:rPr>
        <w:t>/* Infinite loop */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/* USER CODE BEGIN WHILE */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while (1)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{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Key_LED_Task();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/* USER CODE END WHILE */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/* USER CODE BEGIN 3 */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}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/* USER CODE END 3 */</w:t>
      </w:r>
    </w:p>
    <w:p w14:paraId="0473335F">
      <w:pPr>
        <w:pStyle w:val="4"/>
        <w:bidi w:val="0"/>
      </w:pPr>
      <w:bookmarkStart w:id="53" w:name="_Toc238028022"/>
      <w:bookmarkStart w:id="54" w:name="_Toc20117"/>
      <w:r>
        <w:t>CubeMX 生成的 GPIO 初始化参考</w:t>
      </w:r>
      <w:bookmarkEnd w:id="53"/>
      <w:bookmarkEnd w:id="54"/>
    </w:p>
    <w:p w14:paraId="52866C1F">
      <w:r>
        <w:t>当 PA11 选择 GPIO_Input/Pull-up、PB14 选择 GPIO_Output/Push-Pull/Low speed 时，MX_GPIO_Init() 的关键内容应与下列逻辑一致。实际代码顺序可能因 CubeMX 版本不同而略有差异。</w:t>
      </w:r>
    </w:p>
    <w:p w14:paraId="09EECC56">
      <w:pPr>
        <w:keepLines/>
        <w:shd w:val="clear" w:color="auto" w:fill="F3F5F5"/>
        <w:spacing w:after="100" w:line="240" w:lineRule="auto"/>
        <w:ind w:left="255" w:right="113" w:firstLine="0"/>
      </w:pPr>
      <w:r>
        <w:rPr>
          <w:rFonts w:ascii="Consolas" w:hAnsi="Consolas" w:eastAsia="等线"/>
          <w:sz w:val="18"/>
        </w:rPr>
        <w:t>static void MX_GPIO_Init(void)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{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GPIO_InitTypeDef GPIO_InitStruct = {0};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__HAL_RCC_GPIOA_CLK_ENABLE();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__HAL_RCC_GPIOB_CLK_ENABLE();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HAL_GPIO_WritePin(GPIOB, GPIO_PIN_14, GPIO_PIN_RESET);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GPIO_InitStruct.Pin = GPIO_PIN_11;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GPIO_InitStruct.Mode = GPIO_MODE_INPUT;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GPIO_InitStruct.Pull = GPIO_PULLUP;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HAL_GPIO_Init(GPIOA, &amp;GPIO_InitStruct);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GPIO_InitStruct.Pin = GPIO_PIN_14;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GPIO_InitStruct.Mode = GPIO_MODE_OUTPUT_PP;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GPIO_InitStruct.Pull = GPIO_NOPULL;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GPIO_InitStruct.Speed = GPIO_SPEED_FREQ_LOW;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 xml:space="preserve">    HAL_GPIO_Init(GPIOB, &amp;GPIO_InitStruct);</w:t>
      </w:r>
      <w:r>
        <w:rPr>
          <w:rFonts w:ascii="Consolas" w:hAnsi="Consolas" w:eastAsia="等线"/>
          <w:sz w:val="18"/>
        </w:rPr>
        <w:br w:type="textWrapping"/>
      </w:r>
      <w:r>
        <w:rPr>
          <w:rFonts w:ascii="Consolas" w:hAnsi="Consolas" w:eastAsia="等线"/>
          <w:sz w:val="18"/>
        </w:rPr>
        <w:t>}</w:t>
      </w:r>
    </w:p>
    <w:p w14:paraId="759E210E">
      <w:pPr>
        <w:pStyle w:val="2"/>
        <w:bidi w:val="0"/>
      </w:pPr>
      <w:bookmarkStart w:id="55" w:name="_Toc781"/>
      <w:r>
        <w:rPr>
          <w:rFonts w:hint="eastAsia"/>
          <w:lang w:val="en-US" w:eastAsia="zh-CN"/>
        </w:rPr>
        <w:t>使用说明</w:t>
      </w:r>
      <w:bookmarkEnd w:id="55"/>
    </w:p>
    <w:p w14:paraId="2921C860">
      <w:pPr>
        <w:pStyle w:val="3"/>
        <w:bidi w:val="0"/>
      </w:pPr>
      <w:bookmarkStart w:id="56" w:name="_Toc238028023"/>
      <w:bookmarkStart w:id="57" w:name="_Toc20972"/>
      <w:r>
        <w:t>编译下载与功能测试</w:t>
      </w:r>
      <w:bookmarkEnd w:id="56"/>
      <w:bookmarkEnd w:id="57"/>
    </w:p>
    <w:p w14:paraId="6F0141BE">
      <w:r>
        <w:t>在 CubeMX 中选择 STM32F103C8Tx，完成时钟与 SYS 调试接口配置后生成工程。把变量、函数声明、Key_LED_Task() 和 while(1) 调用分别放入对应 USER CODE 区域，编译无误后通过 ST-LINK 下载。首次运行前先确认 PA11 没有被 USB 占用，并确认 PB14 未与其他外设复用。</w:t>
      </w:r>
    </w:p>
    <w:p w14:paraId="1E4403CC">
      <w:pPr>
        <w:pStyle w:val="3"/>
      </w:pPr>
      <w:bookmarkStart w:id="58" w:name="_Toc238028025"/>
      <w:bookmarkStart w:id="59" w:name="_Toc10474"/>
      <w:r>
        <w:t>预期结果</w:t>
      </w:r>
      <w:bookmarkEnd w:id="58"/>
      <w:bookmarkEnd w:id="59"/>
    </w:p>
    <w:tbl>
      <w:tblPr>
        <w:tblStyle w:val="16"/>
        <w:tblW w:w="9356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552"/>
      </w:tblGrid>
      <w:tr w14:paraId="2C7F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tblHeader/>
        </w:trPr>
        <w:tc>
          <w:tcPr>
            <w:tcW w:w="2268" w:type="dxa"/>
            <w:shd w:val="clear" w:color="auto" w:fill="F1F1F1" w:themeFill="background1" w:themeFillShade="F2"/>
            <w:vAlign w:val="center"/>
          </w:tcPr>
          <w:p w14:paraId="325260A2">
            <w:pPr>
              <w:pStyle w:val="47"/>
            </w:pPr>
            <w:r>
              <w:rPr>
                <w:b/>
              </w:rPr>
              <w:t>操作</w:t>
            </w:r>
          </w:p>
        </w:tc>
        <w:tc>
          <w:tcPr>
            <w:tcW w:w="2268" w:type="dxa"/>
            <w:shd w:val="clear" w:color="auto" w:fill="F1F1F1" w:themeFill="background1" w:themeFillShade="F2"/>
            <w:vAlign w:val="center"/>
          </w:tcPr>
          <w:p w14:paraId="1D51F12F">
            <w:pPr>
              <w:pStyle w:val="47"/>
            </w:pPr>
            <w:r>
              <w:rPr>
                <w:b/>
              </w:rPr>
              <w:t>key_count</w:t>
            </w:r>
          </w:p>
        </w:tc>
        <w:tc>
          <w:tcPr>
            <w:tcW w:w="2268" w:type="dxa"/>
            <w:shd w:val="clear" w:color="auto" w:fill="F1F1F1" w:themeFill="background1" w:themeFillShade="F2"/>
            <w:vAlign w:val="center"/>
          </w:tcPr>
          <w:p w14:paraId="6B9E52BE">
            <w:pPr>
              <w:pStyle w:val="47"/>
            </w:pPr>
            <w:r>
              <w:rPr>
                <w:b/>
              </w:rPr>
              <w:t>PB14 电平</w:t>
            </w:r>
          </w:p>
        </w:tc>
        <w:tc>
          <w:tcPr>
            <w:tcW w:w="2552" w:type="dxa"/>
            <w:shd w:val="clear" w:color="auto" w:fill="F1F1F1" w:themeFill="background1" w:themeFillShade="F2"/>
            <w:vAlign w:val="center"/>
          </w:tcPr>
          <w:p w14:paraId="33D9257B">
            <w:pPr>
              <w:pStyle w:val="47"/>
            </w:pPr>
            <w:r>
              <w:rPr>
                <w:b/>
              </w:rPr>
              <w:t>预期现象</w:t>
            </w:r>
          </w:p>
        </w:tc>
      </w:tr>
      <w:tr w14:paraId="196A4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2268" w:type="dxa"/>
            <w:vAlign w:val="center"/>
          </w:tcPr>
          <w:p w14:paraId="3925B090">
            <w:pPr>
              <w:pStyle w:val="47"/>
            </w:pPr>
            <w:r>
              <w:t>上电/复位</w:t>
            </w:r>
          </w:p>
        </w:tc>
        <w:tc>
          <w:tcPr>
            <w:tcW w:w="2268" w:type="dxa"/>
            <w:vAlign w:val="center"/>
          </w:tcPr>
          <w:p w14:paraId="75F34F03">
            <w:pPr>
              <w:pStyle w:val="47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122B29F7">
            <w:pPr>
              <w:pStyle w:val="47"/>
            </w:pPr>
            <w:r>
              <w:t>低</w:t>
            </w:r>
          </w:p>
        </w:tc>
        <w:tc>
          <w:tcPr>
            <w:tcW w:w="2552" w:type="dxa"/>
            <w:vAlign w:val="center"/>
          </w:tcPr>
          <w:p w14:paraId="1CF5B695">
            <w:pPr>
              <w:pStyle w:val="47"/>
            </w:pPr>
            <w:r>
              <w:t>保持初始状态</w:t>
            </w:r>
          </w:p>
        </w:tc>
      </w:tr>
      <w:tr w14:paraId="2ECB8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2268" w:type="dxa"/>
            <w:vAlign w:val="center"/>
          </w:tcPr>
          <w:p w14:paraId="1C5BED01">
            <w:pPr>
              <w:pStyle w:val="47"/>
            </w:pPr>
            <w:r>
              <w:t>第 1 次有效按下</w:t>
            </w:r>
          </w:p>
        </w:tc>
        <w:tc>
          <w:tcPr>
            <w:tcW w:w="2268" w:type="dxa"/>
            <w:vAlign w:val="center"/>
          </w:tcPr>
          <w:p w14:paraId="0D9FF803">
            <w:pPr>
              <w:pStyle w:val="47"/>
            </w:pPr>
            <w:r>
              <w:t>1</w:t>
            </w:r>
          </w:p>
        </w:tc>
        <w:tc>
          <w:tcPr>
            <w:tcW w:w="2268" w:type="dxa"/>
            <w:vAlign w:val="center"/>
          </w:tcPr>
          <w:p w14:paraId="4CFA4ADA">
            <w:pPr>
              <w:pStyle w:val="47"/>
            </w:pPr>
            <w:r>
              <w:t>高</w:t>
            </w:r>
          </w:p>
        </w:tc>
        <w:tc>
          <w:tcPr>
            <w:tcW w:w="2552" w:type="dxa"/>
            <w:vAlign w:val="center"/>
          </w:tcPr>
          <w:p w14:paraId="39167D24">
            <w:pPr>
              <w:pStyle w:val="47"/>
            </w:pPr>
            <w:r>
              <w:t>灯状态切换一次</w:t>
            </w:r>
          </w:p>
        </w:tc>
      </w:tr>
      <w:tr w14:paraId="7B50D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2268" w:type="dxa"/>
            <w:vAlign w:val="center"/>
          </w:tcPr>
          <w:p w14:paraId="52581DAF">
            <w:pPr>
              <w:pStyle w:val="47"/>
            </w:pPr>
            <w:r>
              <w:t>保持按住</w:t>
            </w:r>
          </w:p>
        </w:tc>
        <w:tc>
          <w:tcPr>
            <w:tcW w:w="2268" w:type="dxa"/>
            <w:vAlign w:val="center"/>
          </w:tcPr>
          <w:p w14:paraId="1977B298">
            <w:pPr>
              <w:pStyle w:val="47"/>
            </w:pPr>
            <w:r>
              <w:t>1</w:t>
            </w:r>
          </w:p>
        </w:tc>
        <w:tc>
          <w:tcPr>
            <w:tcW w:w="2268" w:type="dxa"/>
            <w:vAlign w:val="center"/>
          </w:tcPr>
          <w:p w14:paraId="200B39E7">
            <w:pPr>
              <w:pStyle w:val="47"/>
            </w:pPr>
            <w:r>
              <w:t>高</w:t>
            </w:r>
          </w:p>
        </w:tc>
        <w:tc>
          <w:tcPr>
            <w:tcW w:w="2552" w:type="dxa"/>
            <w:vAlign w:val="center"/>
          </w:tcPr>
          <w:p w14:paraId="69B90DBC">
            <w:pPr>
              <w:pStyle w:val="47"/>
            </w:pPr>
            <w:r>
              <w:t>不重复计数</w:t>
            </w:r>
          </w:p>
        </w:tc>
      </w:tr>
      <w:tr w14:paraId="43CD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2268" w:type="dxa"/>
            <w:vAlign w:val="center"/>
          </w:tcPr>
          <w:p w14:paraId="6722AC75">
            <w:pPr>
              <w:pStyle w:val="47"/>
            </w:pPr>
            <w:r>
              <w:t>释放按键</w:t>
            </w:r>
          </w:p>
        </w:tc>
        <w:tc>
          <w:tcPr>
            <w:tcW w:w="2268" w:type="dxa"/>
            <w:vAlign w:val="center"/>
          </w:tcPr>
          <w:p w14:paraId="383EF785">
            <w:pPr>
              <w:pStyle w:val="47"/>
            </w:pPr>
            <w:r>
              <w:t>1</w:t>
            </w:r>
          </w:p>
        </w:tc>
        <w:tc>
          <w:tcPr>
            <w:tcW w:w="2268" w:type="dxa"/>
            <w:vAlign w:val="center"/>
          </w:tcPr>
          <w:p w14:paraId="62AA7C2F">
            <w:pPr>
              <w:pStyle w:val="47"/>
            </w:pPr>
            <w:r>
              <w:t>高</w:t>
            </w:r>
          </w:p>
        </w:tc>
        <w:tc>
          <w:tcPr>
            <w:tcW w:w="2552" w:type="dxa"/>
            <w:vAlign w:val="center"/>
          </w:tcPr>
          <w:p w14:paraId="416B133B">
            <w:pPr>
              <w:pStyle w:val="47"/>
            </w:pPr>
            <w:r>
              <w:t>清除锁存，等待下次按下</w:t>
            </w:r>
          </w:p>
        </w:tc>
      </w:tr>
      <w:tr w14:paraId="47B47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2268" w:type="dxa"/>
            <w:vAlign w:val="center"/>
          </w:tcPr>
          <w:p w14:paraId="4137E886">
            <w:pPr>
              <w:pStyle w:val="47"/>
            </w:pPr>
            <w:r>
              <w:t>第 2 次有效按下</w:t>
            </w:r>
          </w:p>
        </w:tc>
        <w:tc>
          <w:tcPr>
            <w:tcW w:w="2268" w:type="dxa"/>
            <w:vAlign w:val="center"/>
          </w:tcPr>
          <w:p w14:paraId="18E03D0A">
            <w:pPr>
              <w:pStyle w:val="47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6D9272BC">
            <w:pPr>
              <w:pStyle w:val="47"/>
            </w:pPr>
            <w:r>
              <w:t>低</w:t>
            </w:r>
          </w:p>
        </w:tc>
        <w:tc>
          <w:tcPr>
            <w:tcW w:w="2552" w:type="dxa"/>
            <w:vAlign w:val="center"/>
          </w:tcPr>
          <w:p w14:paraId="264888CA">
            <w:pPr>
              <w:pStyle w:val="47"/>
            </w:pPr>
            <w:r>
              <w:t>灯状态再次切换</w:t>
            </w:r>
          </w:p>
        </w:tc>
      </w:tr>
      <w:tr w14:paraId="0625A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2268" w:type="dxa"/>
            <w:vAlign w:val="center"/>
          </w:tcPr>
          <w:p w14:paraId="71198561">
            <w:pPr>
              <w:pStyle w:val="47"/>
            </w:pPr>
            <w:r>
              <w:t>第 3 次有效按下</w:t>
            </w:r>
          </w:p>
        </w:tc>
        <w:tc>
          <w:tcPr>
            <w:tcW w:w="2268" w:type="dxa"/>
            <w:vAlign w:val="center"/>
          </w:tcPr>
          <w:p w14:paraId="7B1ED6FE">
            <w:pPr>
              <w:pStyle w:val="47"/>
            </w:pPr>
            <w:r>
              <w:t>3</w:t>
            </w:r>
          </w:p>
        </w:tc>
        <w:tc>
          <w:tcPr>
            <w:tcW w:w="2268" w:type="dxa"/>
            <w:vAlign w:val="center"/>
          </w:tcPr>
          <w:p w14:paraId="692AB8BF">
            <w:pPr>
              <w:pStyle w:val="47"/>
            </w:pPr>
            <w:r>
              <w:t>高</w:t>
            </w:r>
          </w:p>
        </w:tc>
        <w:tc>
          <w:tcPr>
            <w:tcW w:w="2552" w:type="dxa"/>
            <w:vAlign w:val="center"/>
          </w:tcPr>
          <w:p w14:paraId="26FE5593">
            <w:pPr>
              <w:pStyle w:val="47"/>
            </w:pPr>
            <w:r>
              <w:t>继续按奇偶规律变化</w:t>
            </w:r>
          </w:p>
        </w:tc>
      </w:tr>
    </w:tbl>
    <w:p w14:paraId="6DB42312">
      <w:pPr>
        <w:pStyle w:val="3"/>
      </w:pPr>
      <w:bookmarkStart w:id="60" w:name="_Toc238028026"/>
      <w:bookmarkStart w:id="61" w:name="_Toc32720"/>
      <w:r>
        <w:t>调试观察</w:t>
      </w:r>
      <w:bookmarkEnd w:id="60"/>
      <w:bookmarkEnd w:id="61"/>
    </w:p>
    <w:p w14:paraId="32B24D7F">
      <w:r>
        <w:t>可在调试器中观察 key_lock、key_count 和 GPIOB-&gt;ODR 的第 14 位。若按下一次计数多次，优先检查按键有效电平、释放判断和机械抖动时间；若计数正确但灯不变化，检查 PB14 复用配置、输出电路有效电平及焊接连接。</w:t>
      </w:r>
    </w:p>
    <w:p w14:paraId="7D53C099">
      <w:pPr>
        <w:pStyle w:val="3"/>
        <w:bidi w:val="0"/>
      </w:pPr>
      <w:bookmarkStart w:id="62" w:name="_Toc238028027"/>
      <w:bookmarkStart w:id="63" w:name="_Toc13160"/>
      <w:r>
        <w:t>注意事项与移植</w:t>
      </w:r>
      <w:bookmarkEnd w:id="62"/>
      <w:bookmarkEnd w:id="63"/>
    </w:p>
    <w:p w14:paraId="1110A805">
      <w:pPr>
        <w:pStyle w:val="4"/>
        <w:bidi w:val="0"/>
      </w:pPr>
      <w:bookmarkStart w:id="64" w:name="_Toc238028028"/>
      <w:bookmarkStart w:id="65" w:name="_Toc19446"/>
      <w:r>
        <w:t>有效电平适配</w:t>
      </w:r>
      <w:bookmarkEnd w:id="64"/>
      <w:bookmarkEnd w:id="65"/>
    </w:p>
    <w:p w14:paraId="470A73CD">
      <w:r>
        <w:t>若实测按下为高电平，将 PA11 改为下拉输入，并把函数中按下判断改为 GPIO_PIN_SET、释放判断改为 GPIO_PIN_RESET。PB14 仍按“奇数高、偶数低”输出；如果只追求灯的亮灭而后级为低有效，则需要把输出电平反相。</w:t>
      </w:r>
    </w:p>
    <w:p w14:paraId="77094AD9">
      <w:pPr>
        <w:pStyle w:val="4"/>
        <w:bidi w:val="0"/>
      </w:pPr>
      <w:bookmarkStart w:id="66" w:name="_Toc238028029"/>
      <w:bookmarkStart w:id="67" w:name="_Toc5054"/>
      <w:r>
        <w:t>阻塞延时</w:t>
      </w:r>
      <w:bookmarkEnd w:id="66"/>
      <w:bookmarkEnd w:id="67"/>
    </w:p>
    <w:p w14:paraId="3A895CB2">
      <w:r>
        <w:t>HAL_Delay(20U) 实现简单，适合本例。若工程同时包含电机控制、通信或严格实时任务，可改用 HAL_GetTick() 构建非阻塞状态机，保留 key_lock 和二次确认思想即可。</w:t>
      </w:r>
    </w:p>
    <w:p w14:paraId="42B5E7DD">
      <w:pPr>
        <w:pStyle w:val="4"/>
        <w:bidi w:val="0"/>
      </w:pPr>
      <w:bookmarkStart w:id="68" w:name="_Toc238028030"/>
      <w:bookmarkStart w:id="69" w:name="_Toc17851"/>
      <w:r>
        <w:t>CubeMX 重新生成</w:t>
      </w:r>
      <w:bookmarkEnd w:id="68"/>
      <w:bookmarkEnd w:id="69"/>
    </w:p>
    <w:p w14:paraId="578CE2E6">
      <w:r>
        <w:t>所有手写代码必须位于 USER CODE BEGIN/END 标记之间。不要直接修改 CubeMX 自动生成区，否则重新生成工程时会被覆盖。</w:t>
      </w:r>
    </w:p>
    <w:p w14:paraId="52E974AF">
      <w:pPr>
        <w:pStyle w:val="4"/>
        <w:bidi w:val="0"/>
      </w:pPr>
      <w:bookmarkStart w:id="70" w:name="_Toc238028031"/>
      <w:bookmarkStart w:id="71" w:name="_Toc6837"/>
      <w:r>
        <w:t>电气安全</w:t>
      </w:r>
      <w:bookmarkEnd w:id="70"/>
      <w:bookmarkEnd w:id="71"/>
    </w:p>
    <w:p w14:paraId="612E4353">
      <w:r>
        <w:t>PB14 的驱动能力有限。若灯条或外部灯负载电流超过 GPIO 允许值，应使用限流电阻、三极管或 MOSFET 驱动，不能把大电流负载直接接到 MCU 引脚。</w:t>
      </w:r>
    </w:p>
    <w:p w14:paraId="2D75C2EB">
      <w:pPr>
        <w:pStyle w:val="2"/>
        <w:bidi w:val="0"/>
      </w:pPr>
      <w:bookmarkStart w:id="72" w:name="_Toc1572"/>
      <w:r>
        <w:rPr>
          <w:rFonts w:hint="eastAsia"/>
          <w:lang w:val="en-US" w:eastAsia="zh-CN"/>
        </w:rPr>
        <w:t>原理图及PBC</w:t>
      </w:r>
      <w:bookmarkEnd w:id="72"/>
    </w:p>
    <w:p w14:paraId="5BF396A6">
      <w:r>
        <w:t>PCB 局部图中可见 PA11 与按键焊盘相连，PB14 由灯条/灯控接口引出。编写程序前应使用万用表或在线调试确认按键按下时 PA11 的真实电平，并确认 PB14 后级是否为高电平有效。</w:t>
      </w:r>
    </w:p>
    <w:p w14:paraId="2AE75764">
      <w:pPr>
        <w:pStyle w:val="44"/>
      </w:pPr>
      <w:r>
        <w:drawing>
          <wp:inline distT="0" distB="0" distL="0" distR="0">
            <wp:extent cx="5669280" cy="2063115"/>
            <wp:effectExtent l="0" t="0" r="7620" b="3810"/>
            <wp:docPr id="4" name="Picture 4" descr="图 2.1 PA11 按键网络（用户提供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图 2.1 PA11 按键网络（用户提供）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06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05F30">
      <w:pPr>
        <w:pStyle w:val="7"/>
        <w:rPr>
          <w:rFonts w:hint="eastAsia"/>
        </w:rPr>
      </w:pPr>
      <w:r>
        <w:t>图 2.1 PA11 按键网络</w:t>
      </w:r>
    </w:p>
    <w:p w14:paraId="77206F54">
      <w:pPr>
        <w:pStyle w:val="44"/>
      </w:pPr>
      <w:r>
        <w:drawing>
          <wp:inline distT="0" distB="0" distL="0" distR="0">
            <wp:extent cx="5669280" cy="2480310"/>
            <wp:effectExtent l="0" t="0" r="7620" b="5715"/>
            <wp:docPr id="5" name="Picture 5" descr="图 2.2 PB14 灯控网络（用户提供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图 2.2 PB14 灯控网络（用户提供）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48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BE0E1">
      <w:pPr>
        <w:pStyle w:val="7"/>
        <w:rPr>
          <w:rFonts w:hint="eastAsia"/>
        </w:rPr>
      </w:pPr>
      <w:r>
        <w:t>图 2.2 PB14 灯控网络</w:t>
      </w:r>
    </w:p>
    <w:p w14:paraId="46D9BA9E">
      <w:pPr>
        <w:pStyle w:val="2"/>
      </w:pPr>
      <w:bookmarkStart w:id="73" w:name="_Toc238028032"/>
      <w:bookmarkStart w:id="74" w:name="_Toc17200"/>
      <w:r>
        <w:t>开源说明</w:t>
      </w:r>
      <w:bookmarkEnd w:id="73"/>
      <w:bookmarkEnd w:id="74"/>
    </w:p>
    <w:p w14:paraId="29D915B8">
      <w:pPr>
        <w:pStyle w:val="3"/>
      </w:pPr>
      <w:bookmarkStart w:id="75" w:name="_Toc238028033"/>
      <w:bookmarkStart w:id="76" w:name="_Toc4785"/>
      <w:r>
        <w:t>工程还原范围</w:t>
      </w:r>
      <w:bookmarkEnd w:id="75"/>
      <w:bookmarkEnd w:id="76"/>
    </w:p>
    <w:p w14:paraId="0822F0EA">
      <w:r>
        <w:t>本文提供的是依据功能需求还原的 HAL 参考逻辑，不包含已丢失工程中的时钟树、启动文件、链接脚本和其他外设配置。使用者应由 CubeMX 重新生成基础工程，再把本文代码放入 USER CODE 区域。</w:t>
      </w:r>
    </w:p>
    <w:p w14:paraId="3F80F5E8">
      <w:pPr>
        <w:pStyle w:val="3"/>
      </w:pPr>
      <w:bookmarkStart w:id="77" w:name="_Toc238028034"/>
      <w:bookmarkStart w:id="78" w:name="_Toc16946"/>
      <w:r>
        <w:t>许可建议</w:t>
      </w:r>
      <w:bookmarkEnd w:id="77"/>
      <w:bookmarkEnd w:id="78"/>
    </w:p>
    <w:p w14:paraId="5166A843">
      <w:r>
        <w:t>若对外发布，可将本文示例代码以 MIT License 或团队规定的开源许可发布，并在仓库中同时保留芯片型号、CubeMX 版本、工具链版本、硬件有效电平说明及本文件。第三方模板、Logo 与图片的权利仍归其原权利人所有。</w:t>
      </w:r>
    </w:p>
    <w:p w14:paraId="6A51EA27">
      <w:pPr>
        <w:pStyle w:val="3"/>
      </w:pPr>
      <w:bookmarkStart w:id="79" w:name="_Toc238028035"/>
      <w:bookmarkStart w:id="80" w:name="_Toc977"/>
      <w:r>
        <w:t>版本信息</w:t>
      </w:r>
      <w:bookmarkEnd w:id="79"/>
      <w:bookmarkEnd w:id="80"/>
    </w:p>
    <w:tbl>
      <w:tblPr>
        <w:tblStyle w:val="16"/>
        <w:tblW w:w="9356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552"/>
      </w:tblGrid>
      <w:tr w14:paraId="07205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tblHeader/>
        </w:trPr>
        <w:tc>
          <w:tcPr>
            <w:tcW w:w="2268" w:type="dxa"/>
            <w:shd w:val="clear" w:color="auto" w:fill="F1F1F1" w:themeFill="background1" w:themeFillShade="F2"/>
            <w:vAlign w:val="center"/>
          </w:tcPr>
          <w:p w14:paraId="6390D5DF">
            <w:pPr>
              <w:pStyle w:val="47"/>
            </w:pPr>
            <w:r>
              <w:rPr>
                <w:b/>
              </w:rPr>
              <w:t>文档版本</w:t>
            </w:r>
          </w:p>
        </w:tc>
        <w:tc>
          <w:tcPr>
            <w:tcW w:w="2268" w:type="dxa"/>
            <w:shd w:val="clear" w:color="auto" w:fill="F1F1F1" w:themeFill="background1" w:themeFillShade="F2"/>
            <w:vAlign w:val="center"/>
          </w:tcPr>
          <w:p w14:paraId="4669C7F1">
            <w:pPr>
              <w:pStyle w:val="47"/>
            </w:pPr>
            <w:r>
              <w:rPr>
                <w:b/>
              </w:rPr>
              <w:t>日期</w:t>
            </w:r>
          </w:p>
        </w:tc>
        <w:tc>
          <w:tcPr>
            <w:tcW w:w="2268" w:type="dxa"/>
            <w:shd w:val="clear" w:color="auto" w:fill="F1F1F1" w:themeFill="background1" w:themeFillShade="F2"/>
            <w:vAlign w:val="center"/>
          </w:tcPr>
          <w:p w14:paraId="63285306">
            <w:pPr>
              <w:pStyle w:val="47"/>
            </w:pPr>
            <w:r>
              <w:rPr>
                <w:b/>
              </w:rPr>
              <w:t>适用硬件</w:t>
            </w:r>
          </w:p>
        </w:tc>
        <w:tc>
          <w:tcPr>
            <w:tcW w:w="2552" w:type="dxa"/>
            <w:shd w:val="clear" w:color="auto" w:fill="F1F1F1" w:themeFill="background1" w:themeFillShade="F2"/>
            <w:vAlign w:val="center"/>
          </w:tcPr>
          <w:p w14:paraId="1D05EB4B">
            <w:pPr>
              <w:pStyle w:val="47"/>
            </w:pPr>
            <w:r>
              <w:rPr>
                <w:b/>
              </w:rPr>
              <w:t>说明</w:t>
            </w:r>
          </w:p>
        </w:tc>
      </w:tr>
      <w:tr w14:paraId="2498D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26" w:hRule="atLeast"/>
        </w:trPr>
        <w:tc>
          <w:tcPr>
            <w:tcW w:w="2268" w:type="dxa"/>
            <w:vAlign w:val="center"/>
          </w:tcPr>
          <w:p w14:paraId="7E6E3490">
            <w:pPr>
              <w:pStyle w:val="47"/>
            </w:pPr>
            <w:r>
              <w:t>V1.0</w:t>
            </w:r>
          </w:p>
        </w:tc>
        <w:tc>
          <w:tcPr>
            <w:tcW w:w="2268" w:type="dxa"/>
            <w:vAlign w:val="center"/>
          </w:tcPr>
          <w:p w14:paraId="64E38241">
            <w:pPr>
              <w:pStyle w:val="47"/>
            </w:pPr>
            <w:r>
              <w:t>2026-08</w:t>
            </w:r>
          </w:p>
        </w:tc>
        <w:tc>
          <w:tcPr>
            <w:tcW w:w="2268" w:type="dxa"/>
            <w:vAlign w:val="center"/>
          </w:tcPr>
          <w:p w14:paraId="0708E0E4">
            <w:pPr>
              <w:pStyle w:val="47"/>
            </w:pPr>
            <w:r>
              <w:t>STM32F103C8T6</w:t>
            </w:r>
          </w:p>
        </w:tc>
        <w:tc>
          <w:tcPr>
            <w:tcW w:w="2552" w:type="dxa"/>
            <w:vAlign w:val="center"/>
          </w:tcPr>
          <w:p w14:paraId="7AA8462B">
            <w:pPr>
              <w:pStyle w:val="47"/>
            </w:pPr>
            <w:r>
              <w:t>PA11 按键、PB14 灯控参考实现</w:t>
            </w:r>
          </w:p>
        </w:tc>
      </w:tr>
    </w:tbl>
    <w:p w14:paraId="5E14CF3F"/>
    <w:p w14:paraId="0B720E2D"/>
    <w:p w14:paraId="729428FD">
      <w:pPr>
        <w:rPr>
          <w:rFonts w:hint="eastAsia"/>
        </w:rPr>
      </w:pPr>
    </w:p>
    <w:p w14:paraId="2695FFD5">
      <w:pPr>
        <w:ind w:firstLine="480" w:firstLineChars="200"/>
        <w:rPr>
          <w:rFonts w:hint="eastAsia"/>
        </w:rPr>
      </w:pPr>
    </w:p>
    <w:p w14:paraId="1A5778B2">
      <w:pPr>
        <w:ind w:firstLine="480" w:firstLineChars="200"/>
      </w:pPr>
    </w:p>
    <w:p w14:paraId="26CFC158">
      <w:pPr>
        <w:ind w:firstLine="480" w:firstLineChars="200"/>
      </w:pPr>
    </w:p>
    <w:p w14:paraId="2628F7B3">
      <w:pPr>
        <w:ind w:firstLine="480" w:firstLineChars="200"/>
      </w:pPr>
    </w:p>
    <w:p w14:paraId="551295F4">
      <w:pPr>
        <w:ind w:firstLine="480" w:firstLineChars="200"/>
      </w:pPr>
    </w:p>
    <w:p w14:paraId="047A306A">
      <w:pPr>
        <w:ind w:firstLine="480" w:firstLineChars="200"/>
      </w:pPr>
    </w:p>
    <w:p w14:paraId="4417D852">
      <w:pPr>
        <w:ind w:firstLine="480" w:firstLineChars="200"/>
      </w:pPr>
    </w:p>
    <w:p w14:paraId="78DD292D">
      <w:pPr>
        <w:ind w:firstLine="480" w:firstLineChars="200"/>
      </w:pPr>
    </w:p>
    <w:p w14:paraId="3C09C69B">
      <w:pPr>
        <w:ind w:firstLine="480" w:firstLineChars="200"/>
      </w:pP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-791845</wp:posOffset>
            </wp:positionV>
            <wp:extent cx="7552055" cy="10627995"/>
            <wp:effectExtent l="0" t="0" r="1270" b="1905"/>
            <wp:wrapNone/>
            <wp:docPr id="62" name="图片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2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FBC695">
      <w:pPr>
        <w:ind w:firstLine="0"/>
        <w:rPr>
          <w:rFonts w:hint="eastAsia"/>
        </w:rPr>
      </w:pPr>
    </w:p>
    <w:sectPr>
      <w:footerReference r:id="rId11" w:type="default"/>
      <w:footerReference r:id="rId12" w:type="even"/>
      <w:pgSz w:w="11906" w:h="16838"/>
      <w:pgMar w:top="1134" w:right="1134" w:bottom="1134" w:left="1134" w:header="851" w:footer="992" w:gutter="0"/>
      <w:pgNumType w:start="1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05E0E">
    <w:pPr>
      <w:pBdr>
        <w:left w:val="single" w:color="4472C4" w:themeColor="accent1" w:sz="12" w:space="11"/>
      </w:pBdr>
      <w:tabs>
        <w:tab w:val="left" w:pos="622"/>
      </w:tabs>
      <w:spacing w:after="0"/>
      <w:rPr>
        <w:rFonts w:hint="eastAsia" w:asciiTheme="majorHAnsi" w:hAnsiTheme="majorHAnsi" w:eastAsiaTheme="majorEastAsia" w:cstheme="majorBidi"/>
        <w:color w:val="2F5597" w:themeColor="accent1" w:themeShade="BF"/>
        <w:sz w:val="26"/>
        <w:szCs w:val="26"/>
      </w:rPr>
    </w:pP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fldChar w:fldCharType="begin"/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instrText xml:space="preserve">PAGE   \* MERGEFORMAT</w:instrText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fldChar w:fldCharType="separate"/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  <w:lang w:val="zh-CN"/>
      </w:rPr>
      <w:t>2</w:t>
    </w:r>
    <w:r>
      <w:rPr>
        <w:rFonts w:asciiTheme="majorHAnsi" w:hAnsiTheme="majorHAnsi" w:eastAsiaTheme="majorEastAsia" w:cstheme="majorBidi"/>
        <w:color w:val="2F5597" w:themeColor="accent1" w:themeShade="BF"/>
        <w:sz w:val="26"/>
        <w:szCs w:val="26"/>
      </w:rPr>
      <w:fldChar w:fldCharType="end"/>
    </w:r>
  </w:p>
  <w:p w14:paraId="54E1CBFC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99266938"/>
    </w:sdtPr>
    <w:sdtContent>
      <w:p w14:paraId="00E0ECF9">
        <w:pPr>
          <w:pStyle w:val="11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5A8FA">
    <w:pPr>
      <w:pStyle w:val="1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75176960"/>
      <w:docPartObj>
        <w:docPartGallery w:val="AutoText"/>
      </w:docPartObj>
    </w:sdtPr>
    <w:sdtContent>
      <w:p w14:paraId="0B7D6D85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D1A9A45">
    <w:pPr>
      <w:pStyle w:val="11"/>
      <w:ind w:firstLine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2C3DC">
    <w:pPr>
      <w:pStyle w:val="1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F76D0">
    <w:pPr>
      <w:pStyle w:val="12"/>
      <w:spacing w:line="360" w:lineRule="auto"/>
    </w:pPr>
    <w:r>
      <w:ptab w:relativeTo="margin" w:alignment="center" w:leader="none"/>
    </w:r>
    <w:r>
      <w:ptab w:relativeTo="margin" w:alignment="right" w:leader="none"/>
    </w:r>
    <w:r>
      <w:drawing>
        <wp:inline distT="0" distB="0" distL="0" distR="0">
          <wp:extent cx="1162050" cy="133350"/>
          <wp:effectExtent l="0" t="0" r="0" b="0"/>
          <wp:docPr id="160178853" name="图片 1601788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78853" name="图片 16017885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2050" cy="13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759F5">
    <w:pPr>
      <w:pStyle w:val="12"/>
      <w:spacing w:line="360" w:lineRule="auto"/>
    </w:pPr>
    <w:r>
      <w:ptab w:relativeTo="margin" w:alignment="center" w:leader="none"/>
    </w:r>
    <w:r>
      <w:ptab w:relativeTo="margin" w:alignment="right" w:leader="none"/>
    </w:r>
    <w:r>
      <w:drawing>
        <wp:inline distT="0" distB="0" distL="0" distR="0">
          <wp:extent cx="699770" cy="251460"/>
          <wp:effectExtent l="0" t="0" r="5080" b="0"/>
          <wp:docPr id="171349145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491456" name="图片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916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19535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617EF"/>
    <w:multiLevelType w:val="multilevel"/>
    <w:tmpl w:val="093617EF"/>
    <w:lvl w:ilvl="0" w:tentative="0">
      <w:start w:val="1"/>
      <w:numFmt w:val="decimal"/>
      <w:pStyle w:val="45"/>
      <w:lvlText w:val="图3-%1"/>
      <w:lvlJc w:val="left"/>
      <w:pPr>
        <w:ind w:left="840" w:hanging="420"/>
      </w:pPr>
      <w:rPr>
        <w:rFonts w:hint="default" w:ascii="Arial" w:hAnsi="Arial" w:eastAsia="宋体"/>
        <w:color w:val="000000"/>
        <w:sz w:val="21"/>
        <w:lang w:val="en-US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B8876F5"/>
    <w:multiLevelType w:val="multilevel"/>
    <w:tmpl w:val="4B8876F5"/>
    <w:lvl w:ilvl="0" w:tentative="0">
      <w:start w:val="1"/>
      <w:numFmt w:val="decimal"/>
      <w:pStyle w:val="2"/>
      <w:suff w:val="space"/>
      <w:lvlText w:val="%1."/>
      <w:lvlJc w:val="left"/>
      <w:pPr>
        <w:ind w:left="0" w:firstLine="0"/>
      </w:pPr>
      <w:rPr>
        <w:rFonts w:hint="eastAsi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0" w:firstLine="0"/>
      </w:pPr>
      <w:rPr>
        <w:rFonts w:hint="default" w:ascii="Arial" w:hAnsi="Arial" w:eastAsia="宋体"/>
        <w:b/>
        <w:i w:val="0"/>
        <w:color w:val="009999"/>
        <w:sz w:val="36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1417" w:firstLine="0"/>
      </w:pPr>
      <w:rPr>
        <w:rFonts w:hint="default" w:ascii="Arial" w:hAnsi="Arial" w:eastAsia="宋体"/>
        <w:b/>
        <w:i w:val="0"/>
        <w:color w:val="009999"/>
        <w:sz w:val="32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 w:ascii="Arial" w:hAnsi="Arial" w:eastAsia="宋体"/>
        <w:b/>
        <w:i w:val="0"/>
        <w:color w:val="auto"/>
        <w:sz w:val="21"/>
      </w:rPr>
    </w:lvl>
    <w:lvl w:ilvl="5" w:tentative="0">
      <w:start w:val="1"/>
      <w:numFmt w:val="decimal"/>
      <w:lvlText w:val="%6. "/>
      <w:lvlJc w:val="left"/>
      <w:pPr>
        <w:tabs>
          <w:tab w:val="left" w:pos="0"/>
        </w:tabs>
        <w:ind w:left="284" w:hanging="284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6" w:tentative="0">
      <w:start w:val="1"/>
      <w:numFmt w:val="decimal"/>
      <w:lvlRestart w:val="0"/>
      <w:lvlText w:val="%7."/>
      <w:lvlJc w:val="left"/>
      <w:pPr>
        <w:ind w:left="400" w:firstLine="6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7" w:tentative="0">
      <w:start w:val="1"/>
      <w:numFmt w:val="lowerLetter"/>
      <w:pStyle w:val="32"/>
      <w:lvlText w:val="%8."/>
      <w:lvlJc w:val="left"/>
      <w:pPr>
        <w:tabs>
          <w:tab w:val="left" w:pos="567"/>
        </w:tabs>
        <w:ind w:left="284" w:firstLine="283"/>
      </w:pPr>
      <w:rPr>
        <w:rFonts w:hint="default" w:ascii="Arial" w:hAnsi="Arial" w:eastAsia="宋体"/>
        <w:b w:val="0"/>
        <w:i w:val="0"/>
      </w:rPr>
    </w:lvl>
    <w:lvl w:ilvl="8" w:tentative="0">
      <w:start w:val="1"/>
      <w:numFmt w:val="lowerRoman"/>
      <w:lvlText w:val="%9."/>
      <w:lvlJc w:val="left"/>
      <w:pPr>
        <w:ind w:left="1400" w:hanging="300"/>
      </w:pPr>
      <w:rPr>
        <w:rFonts w:hint="default" w:ascii="Arial" w:hAnsi="Arial" w:eastAsia="宋体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1"/>
        <w:szCs w:val="0"/>
        <w:u w:val="none"/>
        <w:vertAlign w:val="baseline"/>
      </w:rPr>
    </w:lvl>
  </w:abstractNum>
  <w:abstractNum w:abstractNumId="2">
    <w:nsid w:val="51D77930"/>
    <w:multiLevelType w:val="multilevel"/>
    <w:tmpl w:val="51D77930"/>
    <w:lvl w:ilvl="0" w:tentative="0">
      <w:start w:val="1"/>
      <w:numFmt w:val="decimal"/>
      <w:pStyle w:val="39"/>
      <w:lvlText w:val="图2-%1"/>
      <w:lvlJc w:val="left"/>
      <w:pPr>
        <w:tabs>
          <w:tab w:val="left" w:pos="964"/>
        </w:tabs>
        <w:ind w:left="1077" w:hanging="867"/>
      </w:pPr>
      <w:rPr>
        <w:rFonts w:hint="default" w:ascii="Arial" w:hAnsi="Arial" w:eastAsia="宋体"/>
        <w:b w:val="0"/>
        <w:i w:val="0"/>
        <w:sz w:val="21"/>
      </w:rPr>
    </w:lvl>
    <w:lvl w:ilvl="1" w:tentative="0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  <w:b w:val="0"/>
        <w:i w:val="0"/>
        <w:sz w:val="18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5FA2A49"/>
    <w:multiLevelType w:val="multilevel"/>
    <w:tmpl w:val="55FA2A49"/>
    <w:lvl w:ilvl="0" w:tentative="0">
      <w:start w:val="1"/>
      <w:numFmt w:val="decimal"/>
      <w:pStyle w:val="34"/>
      <w:lvlText w:val="（%1）"/>
      <w:lvlJc w:val="left"/>
      <w:pPr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65B35922"/>
    <w:multiLevelType w:val="multilevel"/>
    <w:tmpl w:val="65B35922"/>
    <w:lvl w:ilvl="0" w:tentative="0">
      <w:start w:val="1"/>
      <w:numFmt w:val="decimal"/>
      <w:pStyle w:val="50"/>
      <w:lvlText w:val="表1-%1"/>
      <w:lvlJc w:val="left"/>
      <w:pPr>
        <w:tabs>
          <w:tab w:val="left" w:pos="1050"/>
        </w:tabs>
        <w:ind w:left="1050" w:hanging="420"/>
      </w:pPr>
      <w:rPr>
        <w:rFonts w:hint="default" w:ascii="Arial" w:hAnsi="Arial" w:eastAsia="宋体" w:cs="Times New Roman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21"/>
        <w:u w:val="none"/>
        <w:vertAlign w:val="baseline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bordersDoNotSurroundHeader w:val="1"/>
  <w:bordersDoNotSurroundFooter w:val="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1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88"/>
    <w:rsid w:val="00035691"/>
    <w:rsid w:val="00035C94"/>
    <w:rsid w:val="0004092B"/>
    <w:rsid w:val="00044485"/>
    <w:rsid w:val="0005499D"/>
    <w:rsid w:val="00055BBA"/>
    <w:rsid w:val="0006436A"/>
    <w:rsid w:val="00064F9A"/>
    <w:rsid w:val="00080BFD"/>
    <w:rsid w:val="000811AB"/>
    <w:rsid w:val="00093742"/>
    <w:rsid w:val="000956F3"/>
    <w:rsid w:val="00095E1D"/>
    <w:rsid w:val="000B1DCE"/>
    <w:rsid w:val="000B371E"/>
    <w:rsid w:val="000B5AA6"/>
    <w:rsid w:val="00103688"/>
    <w:rsid w:val="00103E2D"/>
    <w:rsid w:val="00106C23"/>
    <w:rsid w:val="00120079"/>
    <w:rsid w:val="00122917"/>
    <w:rsid w:val="00131DED"/>
    <w:rsid w:val="00134AEB"/>
    <w:rsid w:val="00161C4F"/>
    <w:rsid w:val="00165A69"/>
    <w:rsid w:val="00166528"/>
    <w:rsid w:val="001668FB"/>
    <w:rsid w:val="0017515A"/>
    <w:rsid w:val="00177B02"/>
    <w:rsid w:val="001874B8"/>
    <w:rsid w:val="001903BF"/>
    <w:rsid w:val="00190534"/>
    <w:rsid w:val="00190828"/>
    <w:rsid w:val="00190F01"/>
    <w:rsid w:val="001B35C0"/>
    <w:rsid w:val="001B45D2"/>
    <w:rsid w:val="001C0738"/>
    <w:rsid w:val="001C138F"/>
    <w:rsid w:val="001C7DC3"/>
    <w:rsid w:val="001D25A9"/>
    <w:rsid w:val="001D739D"/>
    <w:rsid w:val="001E32CB"/>
    <w:rsid w:val="001E749B"/>
    <w:rsid w:val="001F11DC"/>
    <w:rsid w:val="001F7C1D"/>
    <w:rsid w:val="00201D9F"/>
    <w:rsid w:val="00204B28"/>
    <w:rsid w:val="002055A4"/>
    <w:rsid w:val="002056AD"/>
    <w:rsid w:val="00210B9A"/>
    <w:rsid w:val="00221E4E"/>
    <w:rsid w:val="002221FC"/>
    <w:rsid w:val="002304DA"/>
    <w:rsid w:val="002358C6"/>
    <w:rsid w:val="00236D2C"/>
    <w:rsid w:val="00245BBC"/>
    <w:rsid w:val="0027099A"/>
    <w:rsid w:val="002907FF"/>
    <w:rsid w:val="00296B86"/>
    <w:rsid w:val="002B7440"/>
    <w:rsid w:val="002B7C21"/>
    <w:rsid w:val="002C2E57"/>
    <w:rsid w:val="002D431A"/>
    <w:rsid w:val="002D4E48"/>
    <w:rsid w:val="002E22A9"/>
    <w:rsid w:val="003147A4"/>
    <w:rsid w:val="00323853"/>
    <w:rsid w:val="00327AA3"/>
    <w:rsid w:val="00331742"/>
    <w:rsid w:val="00340F6D"/>
    <w:rsid w:val="0034490A"/>
    <w:rsid w:val="00345E54"/>
    <w:rsid w:val="003502E6"/>
    <w:rsid w:val="00363008"/>
    <w:rsid w:val="00363915"/>
    <w:rsid w:val="00386E28"/>
    <w:rsid w:val="00392361"/>
    <w:rsid w:val="00397DBF"/>
    <w:rsid w:val="003A6287"/>
    <w:rsid w:val="003B06A0"/>
    <w:rsid w:val="003B386A"/>
    <w:rsid w:val="003C22B5"/>
    <w:rsid w:val="003C37E2"/>
    <w:rsid w:val="003C3CB0"/>
    <w:rsid w:val="003D3F80"/>
    <w:rsid w:val="003F28F9"/>
    <w:rsid w:val="003F52FE"/>
    <w:rsid w:val="003F7AD7"/>
    <w:rsid w:val="0040212F"/>
    <w:rsid w:val="00431EC4"/>
    <w:rsid w:val="0043386D"/>
    <w:rsid w:val="00451EE4"/>
    <w:rsid w:val="00454726"/>
    <w:rsid w:val="00454B9C"/>
    <w:rsid w:val="00461C6D"/>
    <w:rsid w:val="00463BFD"/>
    <w:rsid w:val="00467EA0"/>
    <w:rsid w:val="00471A82"/>
    <w:rsid w:val="00472EBB"/>
    <w:rsid w:val="00473159"/>
    <w:rsid w:val="00485F00"/>
    <w:rsid w:val="00487D67"/>
    <w:rsid w:val="004901DB"/>
    <w:rsid w:val="00493051"/>
    <w:rsid w:val="004A0875"/>
    <w:rsid w:val="004A523D"/>
    <w:rsid w:val="004B2F22"/>
    <w:rsid w:val="004C7BED"/>
    <w:rsid w:val="004D219C"/>
    <w:rsid w:val="004D7B3C"/>
    <w:rsid w:val="004F2D57"/>
    <w:rsid w:val="004F6691"/>
    <w:rsid w:val="00503ABD"/>
    <w:rsid w:val="005219FB"/>
    <w:rsid w:val="00523ECD"/>
    <w:rsid w:val="005277ED"/>
    <w:rsid w:val="00531BE5"/>
    <w:rsid w:val="00534A6C"/>
    <w:rsid w:val="00541416"/>
    <w:rsid w:val="00542D0F"/>
    <w:rsid w:val="00547433"/>
    <w:rsid w:val="00550D65"/>
    <w:rsid w:val="00552AE7"/>
    <w:rsid w:val="005544F2"/>
    <w:rsid w:val="00555D4A"/>
    <w:rsid w:val="00573865"/>
    <w:rsid w:val="00580D76"/>
    <w:rsid w:val="0058447E"/>
    <w:rsid w:val="005909E2"/>
    <w:rsid w:val="00596698"/>
    <w:rsid w:val="005B1F5F"/>
    <w:rsid w:val="005B7DC6"/>
    <w:rsid w:val="005C496F"/>
    <w:rsid w:val="005D7468"/>
    <w:rsid w:val="005F7B07"/>
    <w:rsid w:val="00602228"/>
    <w:rsid w:val="006052DA"/>
    <w:rsid w:val="006119A2"/>
    <w:rsid w:val="00634088"/>
    <w:rsid w:val="006430F4"/>
    <w:rsid w:val="0064749B"/>
    <w:rsid w:val="00647F69"/>
    <w:rsid w:val="00651058"/>
    <w:rsid w:val="006747E0"/>
    <w:rsid w:val="00675255"/>
    <w:rsid w:val="00694254"/>
    <w:rsid w:val="0069555B"/>
    <w:rsid w:val="006B1C3F"/>
    <w:rsid w:val="006C43D5"/>
    <w:rsid w:val="006C4E6F"/>
    <w:rsid w:val="006C7500"/>
    <w:rsid w:val="006D0C49"/>
    <w:rsid w:val="006D3665"/>
    <w:rsid w:val="006D45E7"/>
    <w:rsid w:val="006E760B"/>
    <w:rsid w:val="006F3727"/>
    <w:rsid w:val="006F7431"/>
    <w:rsid w:val="006F7F20"/>
    <w:rsid w:val="0070353E"/>
    <w:rsid w:val="00713A17"/>
    <w:rsid w:val="00721C0E"/>
    <w:rsid w:val="00723D07"/>
    <w:rsid w:val="00736CAE"/>
    <w:rsid w:val="00736E66"/>
    <w:rsid w:val="0074187F"/>
    <w:rsid w:val="00746AE5"/>
    <w:rsid w:val="00751F6D"/>
    <w:rsid w:val="00776EBF"/>
    <w:rsid w:val="00783AE0"/>
    <w:rsid w:val="00793124"/>
    <w:rsid w:val="00797907"/>
    <w:rsid w:val="007B01D8"/>
    <w:rsid w:val="007B196F"/>
    <w:rsid w:val="007B2422"/>
    <w:rsid w:val="007B76BB"/>
    <w:rsid w:val="00812BF3"/>
    <w:rsid w:val="008232D8"/>
    <w:rsid w:val="008243FC"/>
    <w:rsid w:val="00825352"/>
    <w:rsid w:val="00827ACB"/>
    <w:rsid w:val="0083126E"/>
    <w:rsid w:val="008312CF"/>
    <w:rsid w:val="00832EAD"/>
    <w:rsid w:val="00853213"/>
    <w:rsid w:val="00874D72"/>
    <w:rsid w:val="008816DC"/>
    <w:rsid w:val="0089559E"/>
    <w:rsid w:val="008A2C6A"/>
    <w:rsid w:val="008B11DD"/>
    <w:rsid w:val="008B635C"/>
    <w:rsid w:val="008C25E7"/>
    <w:rsid w:val="008C5C2A"/>
    <w:rsid w:val="008C6E55"/>
    <w:rsid w:val="008D4479"/>
    <w:rsid w:val="008E0811"/>
    <w:rsid w:val="008E2416"/>
    <w:rsid w:val="008E4E0C"/>
    <w:rsid w:val="008F5804"/>
    <w:rsid w:val="008F6AE3"/>
    <w:rsid w:val="00903334"/>
    <w:rsid w:val="009146FE"/>
    <w:rsid w:val="00915BAB"/>
    <w:rsid w:val="00923E34"/>
    <w:rsid w:val="0092630B"/>
    <w:rsid w:val="00927688"/>
    <w:rsid w:val="009332E4"/>
    <w:rsid w:val="00935CE5"/>
    <w:rsid w:val="00943E88"/>
    <w:rsid w:val="0094662A"/>
    <w:rsid w:val="009471C3"/>
    <w:rsid w:val="00957753"/>
    <w:rsid w:val="0096044A"/>
    <w:rsid w:val="00964D92"/>
    <w:rsid w:val="00967BE7"/>
    <w:rsid w:val="009708B0"/>
    <w:rsid w:val="0097757A"/>
    <w:rsid w:val="00980B05"/>
    <w:rsid w:val="00980B93"/>
    <w:rsid w:val="009B2112"/>
    <w:rsid w:val="009B3D3B"/>
    <w:rsid w:val="009B5100"/>
    <w:rsid w:val="009B592D"/>
    <w:rsid w:val="009C519B"/>
    <w:rsid w:val="009C5A86"/>
    <w:rsid w:val="009C7B0C"/>
    <w:rsid w:val="009D7816"/>
    <w:rsid w:val="009E0D73"/>
    <w:rsid w:val="009E18FF"/>
    <w:rsid w:val="009F2490"/>
    <w:rsid w:val="009F6505"/>
    <w:rsid w:val="009F71F0"/>
    <w:rsid w:val="00A13099"/>
    <w:rsid w:val="00A1575B"/>
    <w:rsid w:val="00A15AFD"/>
    <w:rsid w:val="00A20450"/>
    <w:rsid w:val="00A222AE"/>
    <w:rsid w:val="00A44330"/>
    <w:rsid w:val="00A46308"/>
    <w:rsid w:val="00A57902"/>
    <w:rsid w:val="00A71B77"/>
    <w:rsid w:val="00A80D2A"/>
    <w:rsid w:val="00A87045"/>
    <w:rsid w:val="00AA0164"/>
    <w:rsid w:val="00AA35CF"/>
    <w:rsid w:val="00AA448C"/>
    <w:rsid w:val="00AA6253"/>
    <w:rsid w:val="00AC6999"/>
    <w:rsid w:val="00AD49A7"/>
    <w:rsid w:val="00AF1211"/>
    <w:rsid w:val="00B16508"/>
    <w:rsid w:val="00B23B35"/>
    <w:rsid w:val="00B24135"/>
    <w:rsid w:val="00B25BB0"/>
    <w:rsid w:val="00B335F2"/>
    <w:rsid w:val="00B43A98"/>
    <w:rsid w:val="00B505B5"/>
    <w:rsid w:val="00B52057"/>
    <w:rsid w:val="00B56A5D"/>
    <w:rsid w:val="00B6012F"/>
    <w:rsid w:val="00B66826"/>
    <w:rsid w:val="00B718E2"/>
    <w:rsid w:val="00B907F0"/>
    <w:rsid w:val="00B90BD5"/>
    <w:rsid w:val="00B95C4C"/>
    <w:rsid w:val="00BB0A62"/>
    <w:rsid w:val="00BB2498"/>
    <w:rsid w:val="00BD0896"/>
    <w:rsid w:val="00BD2DBB"/>
    <w:rsid w:val="00BD3392"/>
    <w:rsid w:val="00BD709B"/>
    <w:rsid w:val="00BF47F1"/>
    <w:rsid w:val="00BF5205"/>
    <w:rsid w:val="00BF74AB"/>
    <w:rsid w:val="00C13D7D"/>
    <w:rsid w:val="00C15127"/>
    <w:rsid w:val="00C16D0A"/>
    <w:rsid w:val="00C220DD"/>
    <w:rsid w:val="00C26BF6"/>
    <w:rsid w:val="00C33B5B"/>
    <w:rsid w:val="00C457B6"/>
    <w:rsid w:val="00C50C24"/>
    <w:rsid w:val="00C51F40"/>
    <w:rsid w:val="00C53E09"/>
    <w:rsid w:val="00C62241"/>
    <w:rsid w:val="00C77561"/>
    <w:rsid w:val="00C83F3A"/>
    <w:rsid w:val="00C93CF3"/>
    <w:rsid w:val="00C97D6E"/>
    <w:rsid w:val="00CA0D3C"/>
    <w:rsid w:val="00CA1290"/>
    <w:rsid w:val="00CA2FFF"/>
    <w:rsid w:val="00CB5E43"/>
    <w:rsid w:val="00CC1080"/>
    <w:rsid w:val="00CE3A9F"/>
    <w:rsid w:val="00CF4605"/>
    <w:rsid w:val="00CF61D1"/>
    <w:rsid w:val="00CF6F4A"/>
    <w:rsid w:val="00D02F18"/>
    <w:rsid w:val="00D07E89"/>
    <w:rsid w:val="00D20CA3"/>
    <w:rsid w:val="00D23ECB"/>
    <w:rsid w:val="00D264CC"/>
    <w:rsid w:val="00D42794"/>
    <w:rsid w:val="00D5103F"/>
    <w:rsid w:val="00D5262C"/>
    <w:rsid w:val="00D53197"/>
    <w:rsid w:val="00D6332D"/>
    <w:rsid w:val="00D649E1"/>
    <w:rsid w:val="00D74CEB"/>
    <w:rsid w:val="00D84C69"/>
    <w:rsid w:val="00D96DBC"/>
    <w:rsid w:val="00DA325F"/>
    <w:rsid w:val="00DA4296"/>
    <w:rsid w:val="00DD06AB"/>
    <w:rsid w:val="00DE3F80"/>
    <w:rsid w:val="00DF0F4D"/>
    <w:rsid w:val="00DF516F"/>
    <w:rsid w:val="00DF5D7B"/>
    <w:rsid w:val="00E0390F"/>
    <w:rsid w:val="00E04B0B"/>
    <w:rsid w:val="00E074FA"/>
    <w:rsid w:val="00E113B5"/>
    <w:rsid w:val="00E12D7B"/>
    <w:rsid w:val="00E15213"/>
    <w:rsid w:val="00E16D28"/>
    <w:rsid w:val="00E20096"/>
    <w:rsid w:val="00E26D7D"/>
    <w:rsid w:val="00E27B94"/>
    <w:rsid w:val="00E414B9"/>
    <w:rsid w:val="00E63174"/>
    <w:rsid w:val="00E94887"/>
    <w:rsid w:val="00E977FB"/>
    <w:rsid w:val="00EB1F26"/>
    <w:rsid w:val="00EB3E0C"/>
    <w:rsid w:val="00EB43E0"/>
    <w:rsid w:val="00EB6BC2"/>
    <w:rsid w:val="00EC21B8"/>
    <w:rsid w:val="00EC3A85"/>
    <w:rsid w:val="00EC3BDE"/>
    <w:rsid w:val="00EE6D6A"/>
    <w:rsid w:val="00EF604A"/>
    <w:rsid w:val="00F03943"/>
    <w:rsid w:val="00F057C7"/>
    <w:rsid w:val="00F1558E"/>
    <w:rsid w:val="00F17AC4"/>
    <w:rsid w:val="00F24F68"/>
    <w:rsid w:val="00F2713B"/>
    <w:rsid w:val="00F30729"/>
    <w:rsid w:val="00F3221A"/>
    <w:rsid w:val="00F32827"/>
    <w:rsid w:val="00F43897"/>
    <w:rsid w:val="00F454F0"/>
    <w:rsid w:val="00F50843"/>
    <w:rsid w:val="00F555A4"/>
    <w:rsid w:val="00F66171"/>
    <w:rsid w:val="00F74D14"/>
    <w:rsid w:val="00F86115"/>
    <w:rsid w:val="00F959DD"/>
    <w:rsid w:val="00FB58D1"/>
    <w:rsid w:val="00FC0994"/>
    <w:rsid w:val="00FC15E4"/>
    <w:rsid w:val="00FC194D"/>
    <w:rsid w:val="00FC1B0C"/>
    <w:rsid w:val="00FD1B9F"/>
    <w:rsid w:val="00FE22C5"/>
    <w:rsid w:val="00FE3064"/>
    <w:rsid w:val="00FE32BB"/>
    <w:rsid w:val="00FE6018"/>
    <w:rsid w:val="00FF469A"/>
    <w:rsid w:val="0EB763C5"/>
    <w:rsid w:val="1B6B1E72"/>
    <w:rsid w:val="1D6D50D7"/>
    <w:rsid w:val="659736ED"/>
    <w:rsid w:val="73C1615C"/>
    <w:rsid w:val="7C33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 w:line="360" w:lineRule="auto"/>
      <w:ind w:firstLine="420"/>
      <w:jc w:val="both"/>
      <w:textAlignment w:val="center"/>
    </w:pPr>
    <w:rPr>
      <w:rFonts w:ascii="Times New Roman" w:hAnsi="Times New Roman" w:eastAsia="宋体" w:cs="Arial"/>
      <w:color w:val="000000"/>
      <w:sz w:val="24"/>
      <w:lang w:val="en-US" w:eastAsia="zh-CN" w:bidi="ar-SA"/>
    </w:rPr>
  </w:style>
  <w:style w:type="paragraph" w:styleId="2">
    <w:name w:val="heading 1"/>
    <w:next w:val="1"/>
    <w:link w:val="22"/>
    <w:qFormat/>
    <w:uiPriority w:val="0"/>
    <w:pPr>
      <w:keepNext/>
      <w:keepLines/>
      <w:pageBreakBefore/>
      <w:numPr>
        <w:ilvl w:val="0"/>
        <w:numId w:val="1"/>
      </w:numPr>
      <w:spacing w:before="100" w:after="100"/>
      <w:jc w:val="both"/>
      <w:outlineLvl w:val="0"/>
    </w:pPr>
    <w:rPr>
      <w:rFonts w:ascii="Arial" w:hAnsi="Arial" w:eastAsia="宋体" w:cs="Arial"/>
      <w:b/>
      <w:bCs/>
      <w:color w:val="009999"/>
      <w:kern w:val="44"/>
      <w:sz w:val="44"/>
      <w:szCs w:val="44"/>
      <w:lang w:val="en-US" w:eastAsia="zh-CN" w:bidi="ar-SA"/>
    </w:rPr>
  </w:style>
  <w:style w:type="paragraph" w:styleId="3">
    <w:name w:val="heading 2"/>
    <w:next w:val="4"/>
    <w:link w:val="23"/>
    <w:qFormat/>
    <w:uiPriority w:val="0"/>
    <w:pPr>
      <w:keepNext/>
      <w:keepLines/>
      <w:numPr>
        <w:ilvl w:val="1"/>
        <w:numId w:val="1"/>
      </w:numPr>
      <w:spacing w:before="120" w:after="100"/>
      <w:jc w:val="both"/>
      <w:outlineLvl w:val="1"/>
    </w:pPr>
    <w:rPr>
      <w:rFonts w:ascii="Arial" w:hAnsi="Arial" w:eastAsia="宋体" w:cs="Arial"/>
      <w:b/>
      <w:bCs/>
      <w:color w:val="009999"/>
      <w:sz w:val="36"/>
      <w:szCs w:val="32"/>
      <w:lang w:val="en-US" w:eastAsia="zh-CN" w:bidi="ar-SA"/>
    </w:rPr>
  </w:style>
  <w:style w:type="paragraph" w:styleId="4">
    <w:name w:val="heading 3"/>
    <w:basedOn w:val="3"/>
    <w:next w:val="1"/>
    <w:link w:val="24"/>
    <w:qFormat/>
    <w:uiPriority w:val="0"/>
    <w:pPr>
      <w:numPr>
        <w:ilvl w:val="2"/>
      </w:numPr>
      <w:ind w:left="0"/>
      <w:outlineLvl w:val="2"/>
    </w:pPr>
    <w:rPr>
      <w:sz w:val="32"/>
    </w:rPr>
  </w:style>
  <w:style w:type="paragraph" w:styleId="5">
    <w:name w:val="heading 4"/>
    <w:next w:val="1"/>
    <w:link w:val="25"/>
    <w:qFormat/>
    <w:uiPriority w:val="0"/>
    <w:pPr>
      <w:keepNext/>
      <w:keepLines/>
      <w:numPr>
        <w:ilvl w:val="3"/>
        <w:numId w:val="1"/>
      </w:numPr>
      <w:spacing w:before="60" w:after="60"/>
      <w:jc w:val="both"/>
      <w:outlineLvl w:val="3"/>
    </w:pPr>
    <w:rPr>
      <w:rFonts w:ascii="Arial" w:hAnsi="Arial" w:eastAsia="宋体" w:cs="Arial"/>
      <w:b/>
      <w:bCs/>
      <w:color w:val="009999"/>
      <w:sz w:val="30"/>
      <w:szCs w:val="28"/>
      <w:lang w:val="en-US" w:eastAsia="zh-CN" w:bidi="ar-SA"/>
    </w:rPr>
  </w:style>
  <w:style w:type="paragraph" w:styleId="6">
    <w:name w:val="heading 5"/>
    <w:next w:val="1"/>
    <w:link w:val="26"/>
    <w:qFormat/>
    <w:uiPriority w:val="0"/>
    <w:pPr>
      <w:keepNext/>
      <w:keepLines/>
      <w:numPr>
        <w:ilvl w:val="4"/>
        <w:numId w:val="1"/>
      </w:numPr>
      <w:spacing w:before="100" w:after="100"/>
      <w:jc w:val="both"/>
      <w:outlineLvl w:val="4"/>
    </w:pPr>
    <w:rPr>
      <w:rFonts w:ascii="Arial" w:hAnsi="Arial" w:eastAsia="宋体" w:cs="Arial"/>
      <w:b/>
      <w:bCs/>
      <w:color w:val="333399"/>
      <w:sz w:val="28"/>
      <w:szCs w:val="28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0"/>
    <w:pPr>
      <w:jc w:val="center"/>
    </w:pPr>
    <w:rPr>
      <w:rFonts w:asciiTheme="majorHAnsi" w:hAnsiTheme="majorHAnsi" w:cstheme="majorBidi"/>
      <w:sz w:val="20"/>
    </w:rPr>
  </w:style>
  <w:style w:type="paragraph" w:styleId="8">
    <w:name w:val="annotation text"/>
    <w:basedOn w:val="1"/>
    <w:link w:val="27"/>
    <w:semiHidden/>
    <w:qFormat/>
    <w:uiPriority w:val="0"/>
    <w:pPr>
      <w:ind w:left="315"/>
    </w:pPr>
  </w:style>
  <w:style w:type="paragraph" w:styleId="9">
    <w:name w:val="toc 3"/>
    <w:basedOn w:val="1"/>
    <w:next w:val="1"/>
    <w:unhideWhenUsed/>
    <w:qFormat/>
    <w:uiPriority w:val="39"/>
    <w:pPr>
      <w:tabs>
        <w:tab w:val="left" w:pos="993"/>
        <w:tab w:val="right" w:leader="dot" w:pos="9638"/>
      </w:tabs>
      <w:ind w:left="979" w:leftChars="158" w:hanging="600"/>
    </w:pPr>
  </w:style>
  <w:style w:type="paragraph" w:styleId="10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toc 1"/>
    <w:basedOn w:val="1"/>
    <w:next w:val="1"/>
    <w:link w:val="43"/>
    <w:unhideWhenUsed/>
    <w:qFormat/>
    <w:uiPriority w:val="39"/>
    <w:pPr>
      <w:tabs>
        <w:tab w:val="right" w:leader="dot" w:pos="9638"/>
      </w:tabs>
      <w:ind w:firstLine="0"/>
    </w:pPr>
    <w:rPr>
      <w:sz w:val="28"/>
      <w:szCs w:val="21"/>
    </w:rPr>
  </w:style>
  <w:style w:type="paragraph" w:styleId="14">
    <w:name w:val="toc 2"/>
    <w:basedOn w:val="1"/>
    <w:next w:val="1"/>
    <w:unhideWhenUsed/>
    <w:qFormat/>
    <w:uiPriority w:val="39"/>
    <w:pPr>
      <w:tabs>
        <w:tab w:val="right" w:leader="dot" w:pos="9628"/>
      </w:tabs>
      <w:ind w:left="-250" w:leftChars="-104" w:firstLine="250"/>
    </w:p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7"/>
    <w:semiHidden/>
    <w:qFormat/>
    <w:uiPriority w:val="0"/>
    <w:rPr>
      <w:sz w:val="21"/>
      <w:szCs w:val="21"/>
    </w:rPr>
  </w:style>
  <w:style w:type="character" w:customStyle="1" w:styleId="21">
    <w:name w:val="批注框文本 字符"/>
    <w:basedOn w:val="17"/>
    <w:link w:val="10"/>
    <w:semiHidden/>
    <w:qFormat/>
    <w:uiPriority w:val="99"/>
    <w:rPr>
      <w:sz w:val="18"/>
      <w:szCs w:val="18"/>
    </w:rPr>
  </w:style>
  <w:style w:type="character" w:customStyle="1" w:styleId="22">
    <w:name w:val="标题 1 字符"/>
    <w:basedOn w:val="17"/>
    <w:link w:val="2"/>
    <w:qFormat/>
    <w:uiPriority w:val="0"/>
    <w:rPr>
      <w:rFonts w:ascii="Arial" w:hAnsi="Arial" w:eastAsia="宋体" w:cs="Arial"/>
      <w:b/>
      <w:bCs/>
      <w:color w:val="009999"/>
      <w:kern w:val="44"/>
      <w:sz w:val="44"/>
      <w:szCs w:val="44"/>
    </w:rPr>
  </w:style>
  <w:style w:type="character" w:customStyle="1" w:styleId="23">
    <w:name w:val="标题 2 字符"/>
    <w:basedOn w:val="17"/>
    <w:link w:val="3"/>
    <w:qFormat/>
    <w:uiPriority w:val="0"/>
    <w:rPr>
      <w:rFonts w:ascii="Arial" w:hAnsi="Arial" w:eastAsia="宋体" w:cs="Arial"/>
      <w:b/>
      <w:bCs/>
      <w:color w:val="009999"/>
      <w:kern w:val="0"/>
      <w:sz w:val="36"/>
      <w:szCs w:val="32"/>
    </w:rPr>
  </w:style>
  <w:style w:type="character" w:customStyle="1" w:styleId="24">
    <w:name w:val="标题 3 字符"/>
    <w:basedOn w:val="17"/>
    <w:link w:val="4"/>
    <w:qFormat/>
    <w:uiPriority w:val="0"/>
    <w:rPr>
      <w:rFonts w:ascii="Arial" w:hAnsi="Arial" w:eastAsia="宋体" w:cs="Arial"/>
      <w:b/>
      <w:bCs/>
      <w:color w:val="009999"/>
      <w:kern w:val="0"/>
      <w:sz w:val="32"/>
      <w:szCs w:val="32"/>
    </w:rPr>
  </w:style>
  <w:style w:type="character" w:customStyle="1" w:styleId="25">
    <w:name w:val="标题 4 字符"/>
    <w:basedOn w:val="17"/>
    <w:link w:val="5"/>
    <w:qFormat/>
    <w:uiPriority w:val="0"/>
    <w:rPr>
      <w:rFonts w:ascii="Arial" w:hAnsi="Arial" w:eastAsia="宋体" w:cs="Arial"/>
      <w:b/>
      <w:bCs/>
      <w:color w:val="009999"/>
      <w:kern w:val="0"/>
      <w:sz w:val="30"/>
      <w:szCs w:val="28"/>
    </w:rPr>
  </w:style>
  <w:style w:type="character" w:customStyle="1" w:styleId="26">
    <w:name w:val="标题 5 字符"/>
    <w:basedOn w:val="17"/>
    <w:link w:val="6"/>
    <w:qFormat/>
    <w:uiPriority w:val="0"/>
    <w:rPr>
      <w:rFonts w:ascii="Arial" w:hAnsi="Arial" w:eastAsia="宋体" w:cs="Arial"/>
      <w:b/>
      <w:bCs/>
      <w:color w:val="333399"/>
      <w:kern w:val="0"/>
      <w:sz w:val="28"/>
      <w:szCs w:val="28"/>
    </w:rPr>
  </w:style>
  <w:style w:type="character" w:customStyle="1" w:styleId="27">
    <w:name w:val="批注文字 字符"/>
    <w:basedOn w:val="17"/>
    <w:link w:val="8"/>
    <w:semiHidden/>
    <w:qFormat/>
    <w:uiPriority w:val="0"/>
    <w:rPr>
      <w:rFonts w:ascii="Arial" w:hAnsi="Arial" w:eastAsia="宋体" w:cs="Arial"/>
      <w:color w:val="000000"/>
      <w:kern w:val="0"/>
      <w:sz w:val="24"/>
      <w:szCs w:val="20"/>
    </w:rPr>
  </w:style>
  <w:style w:type="paragraph" w:customStyle="1" w:styleId="28">
    <w:name w:val="Table text1"/>
    <w:link w:val="33"/>
    <w:qFormat/>
    <w:uiPriority w:val="0"/>
    <w:pPr>
      <w:keepLines/>
      <w:widowControl w:val="0"/>
      <w:spacing w:before="60" w:after="60" w:line="400" w:lineRule="exact"/>
      <w:jc w:val="both"/>
      <w:textAlignment w:val="center"/>
    </w:pPr>
    <w:rPr>
      <w:rFonts w:ascii="Arial" w:hAnsi="Arial" w:eastAsia="宋体" w:cs="Arial"/>
      <w:color w:val="000000"/>
      <w:sz w:val="21"/>
      <w:lang w:val="en-US" w:eastAsia="zh-CN" w:bidi="ar-SA"/>
    </w:rPr>
  </w:style>
  <w:style w:type="paragraph" w:customStyle="1" w:styleId="29">
    <w:name w:val="Table head"/>
    <w:link w:val="30"/>
    <w:qFormat/>
    <w:uiPriority w:val="0"/>
    <w:pPr>
      <w:keepLines/>
      <w:widowControl w:val="0"/>
      <w:spacing w:before="80" w:after="80" w:line="240" w:lineRule="atLeast"/>
      <w:textAlignment w:val="center"/>
    </w:pPr>
    <w:rPr>
      <w:rFonts w:ascii="Arial" w:hAnsi="Arial" w:eastAsia="宋体" w:cs="Arial"/>
      <w:bCs/>
      <w:color w:val="000000"/>
      <w:sz w:val="21"/>
      <w:lang w:val="en-US" w:eastAsia="zh-CN" w:bidi="ar-SA"/>
    </w:rPr>
  </w:style>
  <w:style w:type="character" w:customStyle="1" w:styleId="30">
    <w:name w:val="Table head Char"/>
    <w:basedOn w:val="17"/>
    <w:link w:val="29"/>
    <w:qFormat/>
    <w:uiPriority w:val="0"/>
    <w:rPr>
      <w:rFonts w:ascii="Arial" w:hAnsi="Arial" w:eastAsia="宋体" w:cs="Arial"/>
      <w:bCs/>
      <w:color w:val="000000"/>
      <w:kern w:val="0"/>
      <w:szCs w:val="20"/>
    </w:rPr>
  </w:style>
  <w:style w:type="paragraph" w:customStyle="1" w:styleId="31">
    <w:name w:val="0级标题"/>
    <w:link w:val="53"/>
    <w:qFormat/>
    <w:uiPriority w:val="0"/>
    <w:rPr>
      <w:rFonts w:ascii="Times New Roman" w:hAnsi="Times New Roman" w:eastAsia="宋体" w:cs="Arial"/>
      <w:b/>
      <w:color w:val="009999"/>
      <w:sz w:val="44"/>
      <w:lang w:val="en-US" w:eastAsia="zh-CN" w:bidi="ar-SA"/>
    </w:rPr>
  </w:style>
  <w:style w:type="paragraph" w:customStyle="1" w:styleId="32">
    <w:name w:val="Sub li"/>
    <w:basedOn w:val="1"/>
    <w:qFormat/>
    <w:uiPriority w:val="0"/>
    <w:pPr>
      <w:widowControl/>
      <w:numPr>
        <w:ilvl w:val="7"/>
        <w:numId w:val="1"/>
      </w:numPr>
      <w:tabs>
        <w:tab w:val="left" w:pos="420"/>
      </w:tabs>
      <w:topLinePunct/>
      <w:adjustRightInd w:val="0"/>
      <w:snapToGrid w:val="0"/>
      <w:outlineLvl w:val="5"/>
    </w:pPr>
    <w:rPr>
      <w:snapToGrid w:val="0"/>
      <w:color w:val="auto"/>
      <w:szCs w:val="21"/>
    </w:rPr>
  </w:style>
  <w:style w:type="character" w:customStyle="1" w:styleId="33">
    <w:name w:val="Table text1 Char"/>
    <w:basedOn w:val="17"/>
    <w:link w:val="28"/>
    <w:qFormat/>
    <w:uiPriority w:val="0"/>
    <w:rPr>
      <w:rFonts w:ascii="Arial" w:hAnsi="Arial" w:eastAsia="宋体" w:cs="Arial"/>
      <w:color w:val="000000"/>
      <w:kern w:val="0"/>
      <w:szCs w:val="20"/>
    </w:rPr>
  </w:style>
  <w:style w:type="paragraph" w:styleId="34">
    <w:name w:val="List Paragraph"/>
    <w:link w:val="48"/>
    <w:qFormat/>
    <w:uiPriority w:val="34"/>
    <w:pPr>
      <w:numPr>
        <w:ilvl w:val="0"/>
        <w:numId w:val="2"/>
      </w:numPr>
      <w:tabs>
        <w:tab w:val="left" w:pos="284"/>
        <w:tab w:val="left" w:pos="709"/>
      </w:tabs>
      <w:spacing w:line="360" w:lineRule="auto"/>
      <w:ind w:left="0" w:firstLine="0"/>
    </w:pPr>
    <w:rPr>
      <w:rFonts w:ascii="Times New Roman" w:hAnsi="Times New Roman" w:eastAsia="宋体" w:cs="Arial"/>
      <w:color w:val="000000"/>
      <w:sz w:val="24"/>
      <w:lang w:val="en-US" w:eastAsia="zh-CN" w:bidi="ar-SA"/>
    </w:rPr>
  </w:style>
  <w:style w:type="paragraph" w:styleId="35">
    <w:name w:val="No Spacing"/>
    <w:qFormat/>
    <w:uiPriority w:val="1"/>
    <w:pPr>
      <w:widowControl w:val="0"/>
      <w:jc w:val="both"/>
      <w:textAlignment w:val="center"/>
    </w:pPr>
    <w:rPr>
      <w:rFonts w:ascii="Arial" w:hAnsi="Arial" w:eastAsia="宋体" w:cs="Arial"/>
      <w:color w:val="000000"/>
      <w:sz w:val="24"/>
      <w:lang w:val="en-US" w:eastAsia="zh-CN" w:bidi="ar-SA"/>
    </w:rPr>
  </w:style>
  <w:style w:type="character" w:customStyle="1" w:styleId="36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眉 字符"/>
    <w:basedOn w:val="17"/>
    <w:link w:val="12"/>
    <w:qFormat/>
    <w:uiPriority w:val="99"/>
    <w:rPr>
      <w:rFonts w:ascii="Arial" w:hAnsi="Arial" w:eastAsia="宋体" w:cs="Arial"/>
      <w:color w:val="000000"/>
      <w:kern w:val="0"/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rFonts w:ascii="Arial" w:hAnsi="Arial" w:eastAsia="宋体" w:cs="Arial"/>
      <w:color w:val="000000"/>
      <w:kern w:val="0"/>
      <w:sz w:val="18"/>
      <w:szCs w:val="18"/>
    </w:rPr>
  </w:style>
  <w:style w:type="paragraph" w:customStyle="1" w:styleId="39">
    <w:name w:val="样式 宋体 黑色 居中"/>
    <w:basedOn w:val="1"/>
    <w:autoRedefine/>
    <w:semiHidden/>
    <w:qFormat/>
    <w:uiPriority w:val="0"/>
    <w:pPr>
      <w:numPr>
        <w:ilvl w:val="0"/>
        <w:numId w:val="3"/>
      </w:numPr>
      <w:tabs>
        <w:tab w:val="left" w:pos="360"/>
        <w:tab w:val="clear" w:pos="964"/>
      </w:tabs>
      <w:spacing w:before="100" w:after="100"/>
      <w:ind w:left="0" w:firstLine="420"/>
      <w:jc w:val="center"/>
    </w:pPr>
    <w:rPr>
      <w:sz w:val="22"/>
    </w:rPr>
  </w:style>
  <w:style w:type="paragraph" w:styleId="40">
    <w:name w:val="Quote"/>
    <w:basedOn w:val="1"/>
    <w:next w:val="1"/>
    <w:link w:val="41"/>
    <w:qFormat/>
    <w:uiPriority w:val="29"/>
    <w:pPr>
      <w:spacing w:before="200" w:after="160" w:line="240" w:lineRule="auto"/>
      <w:ind w:left="864" w:right="864"/>
      <w:jc w:val="center"/>
      <w:textAlignment w:val="auto"/>
    </w:pPr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引用 字符"/>
    <w:basedOn w:val="17"/>
    <w:link w:val="4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42">
    <w:name w:val="TOC 标题1"/>
    <w:basedOn w:val="2"/>
    <w:next w:val="1"/>
    <w:unhideWhenUsed/>
    <w:qFormat/>
    <w:uiPriority w:val="39"/>
    <w:pPr>
      <w:pageBreakBefore w:val="0"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43">
    <w:name w:val="TOC 1 字符"/>
    <w:basedOn w:val="17"/>
    <w:link w:val="13"/>
    <w:qFormat/>
    <w:uiPriority w:val="39"/>
    <w:rPr>
      <w:rFonts w:ascii="Times New Roman" w:hAnsi="Times New Roman" w:eastAsia="宋体" w:cs="Arial"/>
      <w:color w:val="000000"/>
      <w:kern w:val="0"/>
      <w:sz w:val="28"/>
      <w:szCs w:val="21"/>
    </w:rPr>
  </w:style>
  <w:style w:type="paragraph" w:customStyle="1" w:styleId="44">
    <w:name w:val="图片"/>
    <w:basedOn w:val="1"/>
    <w:link w:val="46"/>
    <w:qFormat/>
    <w:uiPriority w:val="0"/>
    <w:pPr>
      <w:ind w:firstLine="0"/>
      <w:jc w:val="center"/>
    </w:pPr>
  </w:style>
  <w:style w:type="paragraph" w:customStyle="1" w:styleId="45">
    <w:name w:val="图片注释"/>
    <w:basedOn w:val="34"/>
    <w:link w:val="49"/>
    <w:qFormat/>
    <w:uiPriority w:val="0"/>
    <w:pPr>
      <w:numPr>
        <w:ilvl w:val="0"/>
        <w:numId w:val="4"/>
      </w:numPr>
      <w:ind w:firstLine="0"/>
      <w:jc w:val="center"/>
    </w:pPr>
  </w:style>
  <w:style w:type="character" w:customStyle="1" w:styleId="46">
    <w:name w:val="图片 字符"/>
    <w:basedOn w:val="17"/>
    <w:link w:val="44"/>
    <w:qFormat/>
    <w:uiPriority w:val="0"/>
    <w:rPr>
      <w:rFonts w:ascii="Times New Roman" w:hAnsi="Times New Roman" w:eastAsia="宋体" w:cs="Arial"/>
      <w:color w:val="000000"/>
      <w:kern w:val="0"/>
      <w:sz w:val="24"/>
      <w:szCs w:val="20"/>
    </w:rPr>
  </w:style>
  <w:style w:type="paragraph" w:customStyle="1" w:styleId="47">
    <w:name w:val="表格文字"/>
    <w:basedOn w:val="1"/>
    <w:link w:val="51"/>
    <w:qFormat/>
    <w:uiPriority w:val="0"/>
    <w:pPr>
      <w:spacing w:line="276" w:lineRule="auto"/>
      <w:ind w:firstLine="0"/>
      <w:jc w:val="center"/>
    </w:pPr>
    <w:rPr>
      <w:sz w:val="21"/>
    </w:rPr>
  </w:style>
  <w:style w:type="character" w:customStyle="1" w:styleId="48">
    <w:name w:val="列表段落 字符"/>
    <w:basedOn w:val="17"/>
    <w:link w:val="34"/>
    <w:qFormat/>
    <w:uiPriority w:val="34"/>
    <w:rPr>
      <w:rFonts w:ascii="Times New Roman" w:hAnsi="Times New Roman" w:eastAsia="宋体" w:cs="Arial"/>
      <w:color w:val="000000"/>
      <w:kern w:val="0"/>
      <w:sz w:val="24"/>
      <w:szCs w:val="20"/>
    </w:rPr>
  </w:style>
  <w:style w:type="character" w:customStyle="1" w:styleId="49">
    <w:name w:val="图片注释 字符"/>
    <w:basedOn w:val="48"/>
    <w:link w:val="45"/>
    <w:qFormat/>
    <w:uiPriority w:val="0"/>
    <w:rPr>
      <w:rFonts w:ascii="Times New Roman" w:hAnsi="Times New Roman" w:eastAsia="宋体" w:cs="Arial"/>
      <w:color w:val="000000"/>
      <w:kern w:val="0"/>
      <w:sz w:val="24"/>
      <w:szCs w:val="20"/>
    </w:rPr>
  </w:style>
  <w:style w:type="paragraph" w:customStyle="1" w:styleId="50">
    <w:name w:val="样式1"/>
    <w:basedOn w:val="1"/>
    <w:semiHidden/>
    <w:qFormat/>
    <w:uiPriority w:val="0"/>
    <w:pPr>
      <w:numPr>
        <w:ilvl w:val="0"/>
        <w:numId w:val="5"/>
      </w:numPr>
      <w:tabs>
        <w:tab w:val="clear" w:pos="1050"/>
      </w:tabs>
      <w:spacing w:before="100" w:after="100" w:line="400" w:lineRule="exact"/>
      <w:ind w:left="0" w:firstLine="0"/>
      <w:jc w:val="center"/>
    </w:pPr>
    <w:rPr>
      <w:rFonts w:ascii="宋体" w:hAnsi="宋体"/>
      <w:b/>
      <w:szCs w:val="24"/>
    </w:rPr>
  </w:style>
  <w:style w:type="character" w:customStyle="1" w:styleId="51">
    <w:name w:val="表格文字 字符"/>
    <w:basedOn w:val="17"/>
    <w:link w:val="47"/>
    <w:qFormat/>
    <w:uiPriority w:val="0"/>
    <w:rPr>
      <w:rFonts w:ascii="Times New Roman" w:hAnsi="Times New Roman" w:eastAsia="宋体" w:cs="Arial"/>
      <w:color w:val="000000"/>
      <w:kern w:val="0"/>
      <w:szCs w:val="20"/>
    </w:rPr>
  </w:style>
  <w:style w:type="table" w:customStyle="1" w:styleId="52">
    <w:name w:val="网格表 4 - 着色 31"/>
    <w:basedOn w:val="15"/>
    <w:qFormat/>
    <w:uiPriority w:val="49"/>
    <w:rPr>
      <w:szCs w:val="21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character" w:customStyle="1" w:styleId="53">
    <w:name w:val="0级标题 字符"/>
    <w:basedOn w:val="17"/>
    <w:link w:val="31"/>
    <w:qFormat/>
    <w:uiPriority w:val="0"/>
    <w:rPr>
      <w:rFonts w:ascii="Times New Roman" w:hAnsi="Times New Roman" w:eastAsia="宋体" w:cs="Arial"/>
      <w:b/>
      <w:color w:val="009999"/>
      <w:kern w:val="0"/>
      <w:sz w:val="44"/>
      <w:szCs w:val="20"/>
    </w:rPr>
  </w:style>
  <w:style w:type="character" w:customStyle="1" w:styleId="54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ace-line"/>
    <w:basedOn w:val="1"/>
    <w:qFormat/>
    <w:uiPriority w:val="0"/>
    <w:pPr>
      <w:widowControl/>
      <w:spacing w:before="100" w:beforeAutospacing="1" w:after="100" w:afterAutospacing="1" w:line="240" w:lineRule="auto"/>
      <w:ind w:firstLine="0"/>
      <w:jc w:val="left"/>
      <w:textAlignment w:val="auto"/>
    </w:pPr>
    <w:rPr>
      <w:rFonts w:ascii="宋体" w:hAnsi="宋体" w:cs="宋体"/>
      <w:color w:val="auto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numbering" Target="numbering.xm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D6A06-3E12-42BC-BB2F-6478C8A1D4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845</Words>
  <Characters>1025</Characters>
  <Lines>158</Lines>
  <Paragraphs>172</Paragraphs>
  <TotalTime>0</TotalTime>
  <ScaleCrop>false</ScaleCrop>
  <LinksUpToDate>false</LinksUpToDate>
  <CharactersWithSpaces>1062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2020-11-25T02:31:00Z</dcterms:created>
  <dc:creator>wang yufei</dc:creator>
  <cp:lastModifiedBy>静等日出</cp:lastModifiedBy>
  <cp:lastPrinted>2020-11-25T02:41:00Z</cp:lastPrinted>
  <dcterms:modified xsi:type="dcterms:W3CDTF">2026-08-24T13:23:56Z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25F206E3383D421CBDA39A577CB4ABBF_13</vt:lpwstr>
  </property>
  <property fmtid="{D5CDD505-2E9C-101B-9397-08002B2CF9AE}" pid="4" name="KSOTemplateDocerSaveRecord">
    <vt:lpwstr>eyJoZGlkIjoiY2I2YWJiNDE1NDBiMDk0ODY0ZmVhODVlYjM0NmY2YmQiLCJ1c2VySWQiOiIzNDU1Njg4OTIifQ==</vt:lpwstr>
  </property>
</Properties>
</file>